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C818" w14:textId="050A3ED2" w:rsidR="006E4BB1" w:rsidRPr="005C6EB4" w:rsidRDefault="006E4BB1" w:rsidP="00610EF3">
      <w:pPr>
        <w:spacing w:after="0"/>
        <w:ind w:left="0" w:right="421" w:firstLine="0"/>
        <w:contextualSpacing/>
        <w:jc w:val="right"/>
        <w:rPr>
          <w:rFonts w:eastAsiaTheme="majorEastAsia" w:cstheme="majorBidi"/>
          <w:b/>
          <w:bCs/>
          <w:spacing w:val="-10"/>
          <w:kern w:val="28"/>
          <w:sz w:val="24"/>
          <w:szCs w:val="24"/>
        </w:rPr>
      </w:pPr>
      <w:r w:rsidRPr="005C6EB4">
        <w:rPr>
          <w:rFonts w:eastAsiaTheme="majorEastAsia" w:cstheme="majorBidi"/>
          <w:b/>
          <w:bCs/>
          <w:spacing w:val="-10"/>
          <w:kern w:val="28"/>
          <w:sz w:val="24"/>
          <w:szCs w:val="24"/>
        </w:rPr>
        <w:t>Council</w:t>
      </w:r>
    </w:p>
    <w:p w14:paraId="49393EF9" w14:textId="671D7610" w:rsidR="006E4BB1" w:rsidRPr="005C6EB4" w:rsidRDefault="0086195A" w:rsidP="00610EF3">
      <w:pPr>
        <w:spacing w:after="240"/>
        <w:ind w:left="0" w:right="421" w:firstLine="0"/>
        <w:jc w:val="right"/>
        <w:rPr>
          <w:rFonts w:asciiTheme="minorHAnsi" w:eastAsiaTheme="minorHAnsi" w:hAnsiTheme="minorHAnsi" w:cstheme="minorBidi"/>
          <w:b/>
          <w:bCs/>
          <w:sz w:val="24"/>
          <w:szCs w:val="24"/>
        </w:rPr>
      </w:pPr>
      <w:r w:rsidRPr="005C6EB4">
        <w:rPr>
          <w:b/>
          <w:bCs/>
          <w:sz w:val="24"/>
          <w:szCs w:val="24"/>
        </w:rPr>
        <w:t>1</w:t>
      </w:r>
      <w:r w:rsidR="0010405A" w:rsidRPr="005C6EB4">
        <w:rPr>
          <w:b/>
          <w:bCs/>
          <w:sz w:val="24"/>
          <w:szCs w:val="24"/>
        </w:rPr>
        <w:t>7</w:t>
      </w:r>
      <w:r w:rsidRPr="005C6EB4">
        <w:rPr>
          <w:b/>
          <w:bCs/>
          <w:sz w:val="24"/>
          <w:szCs w:val="24"/>
        </w:rPr>
        <w:t xml:space="preserve"> October</w:t>
      </w:r>
      <w:r w:rsidR="006E4BB1" w:rsidRPr="005C6EB4">
        <w:rPr>
          <w:b/>
          <w:bCs/>
          <w:sz w:val="24"/>
          <w:szCs w:val="24"/>
        </w:rPr>
        <w:t xml:space="preserve"> 202</w:t>
      </w:r>
      <w:r w:rsidR="00030D05" w:rsidRPr="005C6EB4">
        <w:rPr>
          <w:b/>
          <w:bCs/>
          <w:sz w:val="24"/>
          <w:szCs w:val="24"/>
        </w:rPr>
        <w:t>2</w:t>
      </w:r>
    </w:p>
    <w:p w14:paraId="1E35908F" w14:textId="77777777" w:rsidR="007E5E7F" w:rsidRDefault="006E4BB1" w:rsidP="00610EF3">
      <w:pPr>
        <w:ind w:left="0" w:right="421" w:firstLine="0"/>
        <w:jc w:val="left"/>
        <w:rPr>
          <w:rFonts w:eastAsiaTheme="majorEastAsia" w:cstheme="majorBidi"/>
          <w:b/>
          <w:bCs/>
          <w:spacing w:val="-10"/>
          <w:kern w:val="28"/>
          <w:sz w:val="24"/>
          <w:szCs w:val="24"/>
        </w:rPr>
      </w:pPr>
      <w:r w:rsidRPr="005C6EB4">
        <w:rPr>
          <w:rFonts w:eastAsiaTheme="majorEastAsia" w:cstheme="majorBidi"/>
          <w:b/>
          <w:bCs/>
          <w:spacing w:val="-10"/>
          <w:kern w:val="28"/>
          <w:sz w:val="24"/>
          <w:szCs w:val="24"/>
        </w:rPr>
        <w:t xml:space="preserve">Title: </w:t>
      </w:r>
      <w:r w:rsidR="005C6EB4">
        <w:rPr>
          <w:rFonts w:eastAsiaTheme="majorEastAsia" w:cstheme="majorBidi"/>
          <w:b/>
          <w:bCs/>
          <w:spacing w:val="-10"/>
          <w:kern w:val="28"/>
          <w:sz w:val="24"/>
          <w:szCs w:val="24"/>
        </w:rPr>
        <w:tab/>
      </w:r>
      <w:r w:rsidR="005C6EB4">
        <w:rPr>
          <w:rFonts w:eastAsiaTheme="majorEastAsia" w:cstheme="majorBidi"/>
          <w:b/>
          <w:bCs/>
          <w:spacing w:val="-10"/>
          <w:kern w:val="28"/>
          <w:sz w:val="24"/>
          <w:szCs w:val="24"/>
        </w:rPr>
        <w:tab/>
      </w:r>
      <w:r w:rsidR="005C6EB4">
        <w:rPr>
          <w:rFonts w:eastAsiaTheme="majorEastAsia" w:cstheme="majorBidi"/>
          <w:b/>
          <w:bCs/>
          <w:spacing w:val="-10"/>
          <w:kern w:val="28"/>
          <w:sz w:val="24"/>
          <w:szCs w:val="24"/>
        </w:rPr>
        <w:tab/>
      </w:r>
      <w:r w:rsidR="005C6EB4">
        <w:rPr>
          <w:rFonts w:eastAsiaTheme="majorEastAsia" w:cstheme="majorBidi"/>
          <w:b/>
          <w:bCs/>
          <w:spacing w:val="-10"/>
          <w:kern w:val="28"/>
          <w:sz w:val="24"/>
          <w:szCs w:val="24"/>
        </w:rPr>
        <w:tab/>
      </w:r>
      <w:r w:rsidRPr="005C6EB4">
        <w:rPr>
          <w:rFonts w:eastAsiaTheme="majorEastAsia" w:cstheme="majorBidi"/>
          <w:b/>
          <w:bCs/>
          <w:spacing w:val="-10"/>
          <w:kern w:val="28"/>
          <w:sz w:val="24"/>
          <w:szCs w:val="24"/>
        </w:rPr>
        <w:t>State of the District</w:t>
      </w:r>
    </w:p>
    <w:p w14:paraId="3431B2D8" w14:textId="1600226E" w:rsidR="006E4BB1" w:rsidRPr="005C6EB4" w:rsidRDefault="006E4BB1" w:rsidP="007E5E7F">
      <w:pPr>
        <w:ind w:left="0" w:right="420" w:firstLine="0"/>
        <w:jc w:val="left"/>
        <w:rPr>
          <w:rFonts w:eastAsiaTheme="majorEastAsia" w:cstheme="majorBidi"/>
          <w:b/>
          <w:bCs/>
          <w:spacing w:val="-10"/>
          <w:kern w:val="28"/>
          <w:sz w:val="24"/>
          <w:szCs w:val="24"/>
        </w:rPr>
      </w:pPr>
      <w:r w:rsidRPr="005C6EB4">
        <w:rPr>
          <w:rFonts w:eastAsiaTheme="majorEastAsia" w:cstheme="majorBidi"/>
          <w:b/>
          <w:bCs/>
          <w:spacing w:val="-10"/>
          <w:kern w:val="28"/>
          <w:sz w:val="24"/>
          <w:szCs w:val="24"/>
        </w:rPr>
        <w:br/>
        <w:t xml:space="preserve">Lead Officer:  </w:t>
      </w:r>
      <w:r w:rsidR="005C6EB4">
        <w:rPr>
          <w:rFonts w:eastAsiaTheme="majorEastAsia" w:cstheme="majorBidi"/>
          <w:b/>
          <w:bCs/>
          <w:spacing w:val="-10"/>
          <w:kern w:val="28"/>
          <w:sz w:val="24"/>
          <w:szCs w:val="24"/>
        </w:rPr>
        <w:tab/>
      </w:r>
      <w:r w:rsidR="005C6EB4">
        <w:rPr>
          <w:rFonts w:eastAsiaTheme="majorEastAsia" w:cstheme="majorBidi"/>
          <w:b/>
          <w:bCs/>
          <w:spacing w:val="-10"/>
          <w:kern w:val="28"/>
          <w:sz w:val="24"/>
          <w:szCs w:val="24"/>
        </w:rPr>
        <w:tab/>
      </w:r>
      <w:r w:rsidRPr="005C6EB4">
        <w:rPr>
          <w:rFonts w:eastAsiaTheme="majorEastAsia" w:cstheme="majorBidi"/>
          <w:b/>
          <w:bCs/>
          <w:spacing w:val="-10"/>
          <w:kern w:val="28"/>
          <w:sz w:val="24"/>
          <w:szCs w:val="24"/>
        </w:rPr>
        <w:t xml:space="preserve">Melanie Jeffery </w:t>
      </w:r>
      <w:r w:rsidR="005C6EB4">
        <w:rPr>
          <w:rFonts w:eastAsiaTheme="majorEastAsia" w:cstheme="majorBidi"/>
          <w:b/>
          <w:bCs/>
          <w:spacing w:val="-10"/>
          <w:kern w:val="28"/>
          <w:sz w:val="24"/>
          <w:szCs w:val="24"/>
        </w:rPr>
        <w:t>(</w:t>
      </w:r>
      <w:r w:rsidR="007E5E7F">
        <w:rPr>
          <w:rFonts w:eastAsiaTheme="majorEastAsia" w:cstheme="majorBidi"/>
          <w:b/>
          <w:bCs/>
          <w:spacing w:val="-10"/>
          <w:kern w:val="28"/>
          <w:sz w:val="24"/>
          <w:szCs w:val="24"/>
        </w:rPr>
        <w:t>01789 267575</w:t>
      </w:r>
      <w:r w:rsidR="005C6EB4">
        <w:rPr>
          <w:rFonts w:eastAsiaTheme="majorEastAsia" w:cstheme="majorBidi"/>
          <w:b/>
          <w:bCs/>
          <w:spacing w:val="-10"/>
          <w:kern w:val="28"/>
          <w:sz w:val="24"/>
          <w:szCs w:val="24"/>
        </w:rPr>
        <w:t>)</w:t>
      </w:r>
    </w:p>
    <w:p w14:paraId="5FD8DFCF" w14:textId="77777777" w:rsidR="005C6EB4" w:rsidRDefault="006E4BB1" w:rsidP="00610EF3">
      <w:pPr>
        <w:ind w:left="0" w:right="421" w:firstLine="0"/>
        <w:jc w:val="left"/>
        <w:rPr>
          <w:rFonts w:eastAsiaTheme="majorEastAsia" w:cstheme="majorBidi"/>
          <w:b/>
          <w:bCs/>
          <w:spacing w:val="-10"/>
          <w:kern w:val="28"/>
          <w:sz w:val="24"/>
          <w:szCs w:val="24"/>
        </w:rPr>
      </w:pPr>
      <w:r w:rsidRPr="005C6EB4">
        <w:rPr>
          <w:rFonts w:eastAsiaTheme="majorEastAsia" w:cstheme="majorBidi"/>
          <w:b/>
          <w:bCs/>
          <w:spacing w:val="-10"/>
          <w:kern w:val="28"/>
          <w:sz w:val="24"/>
          <w:szCs w:val="24"/>
        </w:rPr>
        <w:t>Portfolio Holder</w:t>
      </w:r>
      <w:r w:rsidR="005C6EB4">
        <w:rPr>
          <w:rFonts w:eastAsiaTheme="majorEastAsia" w:cstheme="majorBidi"/>
          <w:b/>
          <w:bCs/>
          <w:spacing w:val="-10"/>
          <w:kern w:val="28"/>
          <w:sz w:val="24"/>
          <w:szCs w:val="24"/>
        </w:rPr>
        <w:t>/</w:t>
      </w:r>
    </w:p>
    <w:p w14:paraId="2F357438" w14:textId="45E01561" w:rsidR="005C6EB4" w:rsidRDefault="005C6EB4" w:rsidP="00610EF3">
      <w:pPr>
        <w:ind w:left="0" w:right="421" w:firstLine="0"/>
        <w:jc w:val="left"/>
        <w:rPr>
          <w:rFonts w:eastAsiaTheme="majorEastAsia" w:cstheme="majorBidi"/>
          <w:b/>
          <w:bCs/>
          <w:spacing w:val="-10"/>
          <w:kern w:val="28"/>
          <w:sz w:val="24"/>
          <w:szCs w:val="24"/>
        </w:rPr>
      </w:pPr>
      <w:r>
        <w:rPr>
          <w:rFonts w:eastAsiaTheme="majorEastAsia" w:cstheme="majorBidi"/>
          <w:b/>
          <w:bCs/>
          <w:spacing w:val="-10"/>
          <w:kern w:val="28"/>
          <w:sz w:val="24"/>
          <w:szCs w:val="24"/>
        </w:rPr>
        <w:t>Lead Member</w:t>
      </w:r>
      <w:r w:rsidR="006E4BB1" w:rsidRPr="005C6EB4">
        <w:rPr>
          <w:rFonts w:eastAsiaTheme="majorEastAsia" w:cstheme="majorBidi"/>
          <w:b/>
          <w:bCs/>
          <w:spacing w:val="-10"/>
          <w:kern w:val="28"/>
          <w:sz w:val="24"/>
          <w:szCs w:val="24"/>
        </w:rPr>
        <w:t xml:space="preserve">: </w:t>
      </w:r>
      <w:r>
        <w:rPr>
          <w:rFonts w:eastAsiaTheme="majorEastAsia" w:cstheme="majorBidi"/>
          <w:b/>
          <w:bCs/>
          <w:spacing w:val="-10"/>
          <w:kern w:val="28"/>
          <w:sz w:val="24"/>
          <w:szCs w:val="24"/>
        </w:rPr>
        <w:tab/>
      </w:r>
      <w:r>
        <w:rPr>
          <w:rFonts w:eastAsiaTheme="majorEastAsia" w:cstheme="majorBidi"/>
          <w:b/>
          <w:bCs/>
          <w:spacing w:val="-10"/>
          <w:kern w:val="28"/>
          <w:sz w:val="24"/>
          <w:szCs w:val="24"/>
        </w:rPr>
        <w:tab/>
      </w:r>
      <w:r w:rsidR="006E4BB1" w:rsidRPr="005C6EB4">
        <w:rPr>
          <w:rFonts w:eastAsiaTheme="majorEastAsia" w:cstheme="majorBidi"/>
          <w:b/>
          <w:bCs/>
          <w:spacing w:val="-10"/>
          <w:kern w:val="28"/>
          <w:sz w:val="24"/>
          <w:szCs w:val="24"/>
        </w:rPr>
        <w:t>Councillor T Jefferson</w:t>
      </w:r>
    </w:p>
    <w:p w14:paraId="40A10068" w14:textId="77777777" w:rsidR="005C6EB4" w:rsidRDefault="005C6EB4" w:rsidP="005C6EB4">
      <w:pPr>
        <w:ind w:left="0" w:firstLine="0"/>
        <w:jc w:val="left"/>
        <w:rPr>
          <w:rFonts w:eastAsiaTheme="majorEastAsia" w:cstheme="majorBidi"/>
          <w:b/>
          <w:bCs/>
          <w:spacing w:val="-10"/>
          <w:kern w:val="28"/>
          <w:sz w:val="24"/>
          <w:szCs w:val="24"/>
        </w:rPr>
      </w:pPr>
    </w:p>
    <w:p w14:paraId="32F8B4AD" w14:textId="60E3A5C6" w:rsidR="00C26F5F" w:rsidRPr="00030D05" w:rsidRDefault="005C6EB4" w:rsidP="005C6EB4">
      <w:pPr>
        <w:ind w:left="0" w:firstLine="0"/>
        <w:jc w:val="left"/>
        <w:rPr>
          <w:b/>
          <w:sz w:val="22"/>
          <w:szCs w:val="22"/>
        </w:rPr>
      </w:pPr>
      <w:r w:rsidRPr="005C6EB4">
        <w:rPr>
          <w:rFonts w:ascii="Calibri" w:eastAsia="Calibri" w:hAnsi="Calibri"/>
          <w:noProof/>
          <w:sz w:val="22"/>
          <w:szCs w:val="22"/>
        </w:rPr>
        <mc:AlternateContent>
          <mc:Choice Requires="wps">
            <w:drawing>
              <wp:anchor distT="0" distB="0" distL="114300" distR="114300" simplePos="0" relativeHeight="251662336" behindDoc="0" locked="0" layoutInCell="1" allowOverlap="1" wp14:anchorId="0FECF6E0" wp14:editId="10C79B49">
                <wp:simplePos x="0" y="0"/>
                <wp:positionH relativeFrom="column">
                  <wp:posOffset>0</wp:posOffset>
                </wp:positionH>
                <wp:positionV relativeFrom="paragraph">
                  <wp:posOffset>0</wp:posOffset>
                </wp:positionV>
                <wp:extent cx="56864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6864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27854D36"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0" to="4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" strokecolor="windowText" strokeweight="1pt">
                <v:stroke joinstyle="miter"/>
              </v:line>
            </w:pict>
          </mc:Fallback>
        </mc:AlternateContent>
      </w:r>
      <w:r w:rsidR="006E4BB1" w:rsidRPr="005C6EB4">
        <w:rPr>
          <w:rFonts w:eastAsiaTheme="majorEastAsia" w:cstheme="majorBidi"/>
          <w:b/>
          <w:bCs/>
          <w:color w:val="FF0000"/>
          <w:spacing w:val="-10"/>
          <w:kern w:val="28"/>
          <w:sz w:val="24"/>
          <w:szCs w:val="24"/>
        </w:rPr>
        <w:br/>
      </w:r>
      <w:r w:rsidR="00C26F5F" w:rsidRPr="00030D05">
        <w:rPr>
          <w:b/>
          <w:sz w:val="22"/>
          <w:szCs w:val="22"/>
        </w:rPr>
        <w:t>Summary</w:t>
      </w:r>
    </w:p>
    <w:p w14:paraId="4B6A36E2" w14:textId="482E4ACF" w:rsidR="006E4BB1" w:rsidRPr="00030D05" w:rsidRDefault="006E4BB1" w:rsidP="00034A2D">
      <w:pPr>
        <w:pStyle w:val="Heading1"/>
        <w:numPr>
          <w:ilvl w:val="0"/>
          <w:numId w:val="0"/>
        </w:numPr>
        <w:ind w:right="421"/>
        <w:jc w:val="left"/>
        <w:rPr>
          <w:sz w:val="22"/>
          <w:szCs w:val="22"/>
        </w:rPr>
      </w:pPr>
      <w:r w:rsidRPr="00030D05">
        <w:rPr>
          <w:b w:val="0"/>
          <w:smallCaps w:val="0"/>
          <w:snapToGrid/>
          <w:sz w:val="22"/>
          <w:szCs w:val="22"/>
        </w:rPr>
        <w:t>The State of the District needs to be assessed by the Council. This report summarises the events of the past year, along with an outline of future proposals. It also provides information on the current economic, social and environmental profile of the District.</w:t>
      </w:r>
    </w:p>
    <w:p w14:paraId="58574839" w14:textId="6EB09A29" w:rsidR="006E4BB1" w:rsidRPr="00030D05" w:rsidRDefault="006E4BB1" w:rsidP="00C26F5F">
      <w:pPr>
        <w:jc w:val="left"/>
        <w:rPr>
          <w:b/>
          <w:sz w:val="22"/>
          <w:szCs w:val="22"/>
        </w:rPr>
      </w:pPr>
      <w:r w:rsidRPr="00030D05">
        <w:rPr>
          <w:b/>
          <w:sz w:val="22"/>
          <w:szCs w:val="22"/>
        </w:rPr>
        <w:t xml:space="preserve">Recommendation </w:t>
      </w:r>
    </w:p>
    <w:p w14:paraId="24B09A0C" w14:textId="09F9F751" w:rsidR="006E4BB1" w:rsidRPr="00507A7F" w:rsidRDefault="006E4BB1" w:rsidP="00C26F5F">
      <w:pPr>
        <w:pStyle w:val="Recommendation"/>
        <w:ind w:left="0"/>
        <w:jc w:val="left"/>
        <w:rPr>
          <w:bCs/>
          <w:sz w:val="22"/>
          <w:szCs w:val="22"/>
        </w:rPr>
      </w:pPr>
      <w:r w:rsidRPr="00030D05">
        <w:rPr>
          <w:sz w:val="22"/>
          <w:szCs w:val="22"/>
        </w:rPr>
        <w:tab/>
      </w:r>
      <w:r w:rsidRPr="00507A7F">
        <w:rPr>
          <w:bCs/>
          <w:sz w:val="22"/>
          <w:szCs w:val="22"/>
        </w:rPr>
        <w:t xml:space="preserve">That the State of the Stratford-on-Avon District is </w:t>
      </w:r>
      <w:r w:rsidR="00507A7F" w:rsidRPr="00507A7F">
        <w:rPr>
          <w:bCs/>
          <w:sz w:val="22"/>
          <w:szCs w:val="22"/>
        </w:rPr>
        <w:t>noted,</w:t>
      </w:r>
      <w:r w:rsidRPr="00507A7F">
        <w:rPr>
          <w:bCs/>
          <w:sz w:val="22"/>
          <w:szCs w:val="22"/>
        </w:rPr>
        <w:t xml:space="preserve"> and the issues raised are considered as part of the budget-making process for 202</w:t>
      </w:r>
      <w:r w:rsidR="00030D05" w:rsidRPr="00507A7F">
        <w:rPr>
          <w:bCs/>
          <w:sz w:val="22"/>
          <w:szCs w:val="22"/>
        </w:rPr>
        <w:t>3</w:t>
      </w:r>
      <w:r w:rsidRPr="00507A7F">
        <w:rPr>
          <w:bCs/>
          <w:sz w:val="22"/>
          <w:szCs w:val="22"/>
        </w:rPr>
        <w:t>/2</w:t>
      </w:r>
      <w:r w:rsidR="00030D05" w:rsidRPr="00507A7F">
        <w:rPr>
          <w:bCs/>
          <w:sz w:val="22"/>
          <w:szCs w:val="22"/>
        </w:rPr>
        <w:t>4</w:t>
      </w:r>
      <w:r w:rsidRPr="00507A7F">
        <w:rPr>
          <w:bCs/>
          <w:sz w:val="22"/>
          <w:szCs w:val="22"/>
        </w:rPr>
        <w:t xml:space="preserve">. </w:t>
      </w:r>
    </w:p>
    <w:p w14:paraId="2271D1B0" w14:textId="77777777" w:rsidR="005C6EB4" w:rsidRPr="00030D05" w:rsidRDefault="005C6EB4" w:rsidP="00C26F5F">
      <w:pPr>
        <w:pStyle w:val="Recommendation"/>
        <w:ind w:left="0"/>
        <w:jc w:val="left"/>
        <w:rPr>
          <w:b w:val="0"/>
          <w:sz w:val="22"/>
          <w:szCs w:val="22"/>
        </w:rPr>
      </w:pPr>
    </w:p>
    <w:p w14:paraId="14856056" w14:textId="5FBEC130" w:rsidR="005C6EB4" w:rsidRPr="000C2EB7" w:rsidRDefault="005C6EB4" w:rsidP="005C6EB4">
      <w:pPr>
        <w:spacing w:line="256" w:lineRule="auto"/>
        <w:ind w:left="0" w:firstLine="0"/>
        <w:jc w:val="left"/>
        <w:rPr>
          <w:rFonts w:ascii="Calibri" w:eastAsia="Calibri" w:hAnsi="Calibri"/>
          <w:color w:val="FF0000"/>
          <w:sz w:val="22"/>
          <w:szCs w:val="22"/>
        </w:rPr>
      </w:pPr>
      <w:r w:rsidRPr="005C6EB4">
        <w:rPr>
          <w:rFonts w:ascii="Calibri" w:eastAsia="Calibri" w:hAnsi="Calibri"/>
          <w:noProof/>
          <w:sz w:val="22"/>
          <w:szCs w:val="22"/>
        </w:rPr>
        <mc:AlternateContent>
          <mc:Choice Requires="wps">
            <w:drawing>
              <wp:anchor distT="0" distB="0" distL="114300" distR="114300" simplePos="0" relativeHeight="251664384" behindDoc="0" locked="0" layoutInCell="1" allowOverlap="1" wp14:anchorId="1360621A" wp14:editId="73A02E1F">
                <wp:simplePos x="0" y="0"/>
                <wp:positionH relativeFrom="column">
                  <wp:posOffset>0</wp:posOffset>
                </wp:positionH>
                <wp:positionV relativeFrom="paragraph">
                  <wp:posOffset>0</wp:posOffset>
                </wp:positionV>
                <wp:extent cx="5686425"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686425"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w:pict>
              <v:line w14:anchorId="0854C7D9" id="Straight Connector 1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0,0" to="44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" strokecolor="windowText" strokeweight="1pt">
                <v:stroke joinstyle="miter"/>
              </v:line>
            </w:pict>
          </mc:Fallback>
        </mc:AlternateContent>
      </w:r>
    </w:p>
    <w:p w14:paraId="6276609F" w14:textId="56309BBA" w:rsidR="00100859" w:rsidRPr="00674C14" w:rsidRDefault="00100859" w:rsidP="00610EF3">
      <w:pPr>
        <w:pStyle w:val="Heading1"/>
        <w:numPr>
          <w:ilvl w:val="0"/>
          <w:numId w:val="7"/>
        </w:numPr>
        <w:ind w:left="709" w:right="420" w:hanging="709"/>
        <w:rPr>
          <w:smallCaps w:val="0"/>
          <w:sz w:val="22"/>
          <w:szCs w:val="22"/>
        </w:rPr>
      </w:pPr>
      <w:r w:rsidRPr="00674C14">
        <w:rPr>
          <w:smallCaps w:val="0"/>
          <w:sz w:val="22"/>
          <w:szCs w:val="22"/>
        </w:rPr>
        <w:t xml:space="preserve">Background/Information </w:t>
      </w:r>
    </w:p>
    <w:p w14:paraId="726593AB" w14:textId="77777777" w:rsidR="00100859" w:rsidRPr="00674C14" w:rsidRDefault="00D8753D" w:rsidP="00610EF3">
      <w:pPr>
        <w:pStyle w:val="BodyText"/>
        <w:numPr>
          <w:ilvl w:val="1"/>
          <w:numId w:val="8"/>
        </w:numPr>
        <w:ind w:left="709" w:right="420" w:hanging="709"/>
        <w:jc w:val="left"/>
        <w:rPr>
          <w:sz w:val="22"/>
          <w:szCs w:val="22"/>
        </w:rPr>
      </w:pPr>
      <w:r w:rsidRPr="00674C14">
        <w:rPr>
          <w:snapToGrid/>
          <w:sz w:val="22"/>
          <w:szCs w:val="22"/>
        </w:rPr>
        <w:t xml:space="preserve">Stratford-on-Avon </w:t>
      </w:r>
      <w:r w:rsidR="001D61F1" w:rsidRPr="00674C14">
        <w:rPr>
          <w:snapToGrid/>
          <w:sz w:val="22"/>
          <w:szCs w:val="22"/>
        </w:rPr>
        <w:t>District</w:t>
      </w:r>
      <w:r w:rsidRPr="00674C14">
        <w:rPr>
          <w:snapToGrid/>
          <w:sz w:val="22"/>
          <w:szCs w:val="22"/>
        </w:rPr>
        <w:t xml:space="preserve"> Council’s Constitution stipulates that the Council will debate the State of the </w:t>
      </w:r>
      <w:r w:rsidR="001D61F1" w:rsidRPr="00674C14">
        <w:rPr>
          <w:snapToGrid/>
          <w:sz w:val="22"/>
          <w:szCs w:val="22"/>
        </w:rPr>
        <w:t>District</w:t>
      </w:r>
      <w:r w:rsidRPr="00674C14">
        <w:rPr>
          <w:snapToGrid/>
          <w:sz w:val="22"/>
          <w:szCs w:val="22"/>
        </w:rPr>
        <w:t xml:space="preserve"> at </w:t>
      </w:r>
      <w:r w:rsidR="007243AA" w:rsidRPr="00674C14">
        <w:rPr>
          <w:snapToGrid/>
          <w:sz w:val="22"/>
          <w:szCs w:val="22"/>
        </w:rPr>
        <w:t>the Council</w:t>
      </w:r>
      <w:r w:rsidRPr="00674C14">
        <w:rPr>
          <w:snapToGrid/>
          <w:sz w:val="22"/>
          <w:szCs w:val="22"/>
        </w:rPr>
        <w:t xml:space="preserve"> Meeting</w:t>
      </w:r>
      <w:r w:rsidR="007243AA" w:rsidRPr="00674C14">
        <w:rPr>
          <w:snapToGrid/>
          <w:sz w:val="22"/>
          <w:szCs w:val="22"/>
        </w:rPr>
        <w:t xml:space="preserve"> in the </w:t>
      </w:r>
      <w:r w:rsidR="00B9550B" w:rsidRPr="00674C14">
        <w:rPr>
          <w:snapToGrid/>
          <w:sz w:val="22"/>
          <w:szCs w:val="22"/>
        </w:rPr>
        <w:t>autumn</w:t>
      </w:r>
      <w:r w:rsidRPr="00674C14">
        <w:rPr>
          <w:snapToGrid/>
          <w:sz w:val="22"/>
          <w:szCs w:val="22"/>
        </w:rPr>
        <w:t xml:space="preserve">.    </w:t>
      </w:r>
    </w:p>
    <w:p w14:paraId="3DDEF424" w14:textId="77777777" w:rsidR="009D48E1" w:rsidRPr="00674C14" w:rsidRDefault="00B631F9" w:rsidP="00610EF3">
      <w:pPr>
        <w:pStyle w:val="BodyText"/>
        <w:numPr>
          <w:ilvl w:val="1"/>
          <w:numId w:val="8"/>
        </w:numPr>
        <w:ind w:left="709" w:right="420" w:hanging="709"/>
        <w:jc w:val="left"/>
        <w:rPr>
          <w:sz w:val="22"/>
          <w:szCs w:val="22"/>
        </w:rPr>
      </w:pPr>
      <w:r w:rsidRPr="00674C14">
        <w:rPr>
          <w:sz w:val="22"/>
          <w:szCs w:val="22"/>
        </w:rPr>
        <w:t>The Constitution states that the Leader will decide the form of the debate</w:t>
      </w:r>
      <w:r w:rsidR="00D74DDD" w:rsidRPr="00674C14">
        <w:rPr>
          <w:sz w:val="22"/>
          <w:szCs w:val="22"/>
        </w:rPr>
        <w:t>.</w:t>
      </w:r>
      <w:r w:rsidRPr="00674C14">
        <w:rPr>
          <w:sz w:val="22"/>
          <w:szCs w:val="22"/>
        </w:rPr>
        <w:t xml:space="preserve"> </w:t>
      </w:r>
    </w:p>
    <w:p w14:paraId="2D48EE02" w14:textId="77777777" w:rsidR="00B631F9" w:rsidRPr="00674C14" w:rsidRDefault="00B631F9" w:rsidP="00610EF3">
      <w:pPr>
        <w:pStyle w:val="BodyText"/>
        <w:numPr>
          <w:ilvl w:val="1"/>
          <w:numId w:val="8"/>
        </w:numPr>
        <w:ind w:left="709" w:right="420" w:hanging="709"/>
        <w:jc w:val="left"/>
        <w:rPr>
          <w:sz w:val="22"/>
          <w:szCs w:val="22"/>
        </w:rPr>
      </w:pPr>
      <w:r w:rsidRPr="00674C14">
        <w:rPr>
          <w:sz w:val="22"/>
          <w:szCs w:val="22"/>
        </w:rPr>
        <w:t>The</w:t>
      </w:r>
      <w:r w:rsidR="001F3150" w:rsidRPr="00674C14">
        <w:rPr>
          <w:sz w:val="22"/>
          <w:szCs w:val="22"/>
        </w:rPr>
        <w:t xml:space="preserve"> results of the debate will be:</w:t>
      </w:r>
    </w:p>
    <w:p w14:paraId="61DF8FE7" w14:textId="77777777" w:rsidR="00B631F9" w:rsidRPr="00674C14" w:rsidRDefault="00B631F9" w:rsidP="00610EF3">
      <w:pPr>
        <w:pStyle w:val="BodyText"/>
        <w:numPr>
          <w:ilvl w:val="0"/>
          <w:numId w:val="33"/>
        </w:numPr>
        <w:ind w:left="1134" w:right="420" w:hanging="425"/>
        <w:jc w:val="left"/>
        <w:rPr>
          <w:sz w:val="22"/>
          <w:szCs w:val="22"/>
        </w:rPr>
      </w:pPr>
      <w:r w:rsidRPr="00674C14">
        <w:rPr>
          <w:sz w:val="22"/>
          <w:szCs w:val="22"/>
        </w:rPr>
        <w:t xml:space="preserve">disseminated as widely as possible within the community and to agencies and organisations in the area; </w:t>
      </w:r>
    </w:p>
    <w:p w14:paraId="58A06E34" w14:textId="27DDCEE6" w:rsidR="00B631F9" w:rsidRPr="00674C14" w:rsidRDefault="00B631F9" w:rsidP="00610EF3">
      <w:pPr>
        <w:pStyle w:val="BodyText"/>
        <w:numPr>
          <w:ilvl w:val="0"/>
          <w:numId w:val="33"/>
        </w:numPr>
        <w:ind w:left="1134" w:right="420" w:hanging="425"/>
        <w:jc w:val="left"/>
        <w:rPr>
          <w:sz w:val="22"/>
          <w:szCs w:val="22"/>
        </w:rPr>
      </w:pPr>
      <w:r w:rsidRPr="00674C14">
        <w:rPr>
          <w:sz w:val="22"/>
          <w:szCs w:val="22"/>
        </w:rPr>
        <w:t xml:space="preserve">considered by the Leader in proposing the Budget and Policy Framework to the Council for </w:t>
      </w:r>
      <w:r w:rsidR="00D74DDD" w:rsidRPr="00674C14">
        <w:rPr>
          <w:sz w:val="22"/>
          <w:szCs w:val="22"/>
        </w:rPr>
        <w:t>20</w:t>
      </w:r>
      <w:r w:rsidR="000171E0" w:rsidRPr="00674C14">
        <w:rPr>
          <w:sz w:val="22"/>
          <w:szCs w:val="22"/>
        </w:rPr>
        <w:t>2</w:t>
      </w:r>
      <w:r w:rsidR="00887566" w:rsidRPr="00674C14">
        <w:rPr>
          <w:sz w:val="22"/>
          <w:szCs w:val="22"/>
        </w:rPr>
        <w:t>3</w:t>
      </w:r>
      <w:r w:rsidR="00D74DDD" w:rsidRPr="00674C14">
        <w:rPr>
          <w:sz w:val="22"/>
          <w:szCs w:val="22"/>
        </w:rPr>
        <w:t>/</w:t>
      </w:r>
      <w:r w:rsidR="000171E0" w:rsidRPr="00674C14">
        <w:rPr>
          <w:sz w:val="22"/>
          <w:szCs w:val="22"/>
        </w:rPr>
        <w:t>2</w:t>
      </w:r>
      <w:r w:rsidR="00887566" w:rsidRPr="00674C14">
        <w:rPr>
          <w:sz w:val="22"/>
          <w:szCs w:val="22"/>
        </w:rPr>
        <w:t>4</w:t>
      </w:r>
      <w:r w:rsidR="000A3F43" w:rsidRPr="00674C14">
        <w:rPr>
          <w:sz w:val="22"/>
          <w:szCs w:val="22"/>
        </w:rPr>
        <w:t>; and</w:t>
      </w:r>
    </w:p>
    <w:p w14:paraId="1DB0A034" w14:textId="77777777" w:rsidR="000E4770" w:rsidRPr="00674C14" w:rsidRDefault="000A3F43" w:rsidP="00610EF3">
      <w:pPr>
        <w:pStyle w:val="BodyText"/>
        <w:numPr>
          <w:ilvl w:val="0"/>
          <w:numId w:val="33"/>
        </w:numPr>
        <w:ind w:left="1134" w:right="420" w:hanging="425"/>
        <w:jc w:val="left"/>
        <w:rPr>
          <w:sz w:val="22"/>
          <w:szCs w:val="22"/>
        </w:rPr>
      </w:pPr>
      <w:r w:rsidRPr="00674C14">
        <w:rPr>
          <w:sz w:val="22"/>
          <w:szCs w:val="22"/>
        </w:rPr>
        <w:t>considered in the shaping of the Co</w:t>
      </w:r>
      <w:r w:rsidR="00CC1156" w:rsidRPr="00674C14">
        <w:rPr>
          <w:sz w:val="22"/>
          <w:szCs w:val="22"/>
        </w:rPr>
        <w:t>uncil’s future policies and strategies</w:t>
      </w:r>
      <w:r w:rsidRPr="00674C14">
        <w:rPr>
          <w:sz w:val="22"/>
          <w:szCs w:val="22"/>
        </w:rPr>
        <w:t>.</w:t>
      </w:r>
      <w:r w:rsidR="00CD1F37" w:rsidRPr="00674C14">
        <w:rPr>
          <w:sz w:val="22"/>
          <w:szCs w:val="22"/>
        </w:rPr>
        <w:t xml:space="preserve">        </w:t>
      </w:r>
    </w:p>
    <w:p w14:paraId="1BFEA02B" w14:textId="47FFA4A9" w:rsidR="003E0169" w:rsidRPr="00674C14" w:rsidRDefault="00416229" w:rsidP="0081759F">
      <w:pPr>
        <w:pStyle w:val="Heading2"/>
        <w:numPr>
          <w:ilvl w:val="0"/>
          <w:numId w:val="10"/>
        </w:numPr>
        <w:ind w:left="709" w:right="420" w:hanging="709"/>
        <w:rPr>
          <w:smallCaps w:val="0"/>
          <w:sz w:val="22"/>
          <w:szCs w:val="22"/>
        </w:rPr>
      </w:pPr>
      <w:r w:rsidRPr="00674C14">
        <w:rPr>
          <w:smallCaps w:val="0"/>
          <w:sz w:val="22"/>
          <w:szCs w:val="22"/>
        </w:rPr>
        <w:t>202</w:t>
      </w:r>
      <w:r w:rsidR="004845A1" w:rsidRPr="00674C14">
        <w:rPr>
          <w:smallCaps w:val="0"/>
          <w:sz w:val="22"/>
          <w:szCs w:val="22"/>
        </w:rPr>
        <w:t>2</w:t>
      </w:r>
      <w:r w:rsidR="000E4770" w:rsidRPr="00674C14">
        <w:rPr>
          <w:smallCaps w:val="0"/>
          <w:sz w:val="22"/>
          <w:szCs w:val="22"/>
        </w:rPr>
        <w:t xml:space="preserve"> </w:t>
      </w:r>
      <w:r w:rsidR="002D38FF" w:rsidRPr="00674C14">
        <w:rPr>
          <w:smallCaps w:val="0"/>
          <w:sz w:val="22"/>
          <w:szCs w:val="22"/>
        </w:rPr>
        <w:t>A</w:t>
      </w:r>
      <w:r w:rsidR="000E4770" w:rsidRPr="00674C14">
        <w:rPr>
          <w:smallCaps w:val="0"/>
          <w:sz w:val="22"/>
          <w:szCs w:val="22"/>
        </w:rPr>
        <w:t>pproach</w:t>
      </w:r>
    </w:p>
    <w:p w14:paraId="12534AB8" w14:textId="54069483" w:rsidR="00C16C9D" w:rsidRPr="00674C14" w:rsidRDefault="0020479C" w:rsidP="00610EF3">
      <w:pPr>
        <w:pStyle w:val="BodyText"/>
        <w:numPr>
          <w:ilvl w:val="1"/>
          <w:numId w:val="10"/>
        </w:numPr>
        <w:ind w:left="709" w:right="420" w:hanging="709"/>
        <w:jc w:val="left"/>
        <w:rPr>
          <w:sz w:val="22"/>
          <w:szCs w:val="22"/>
        </w:rPr>
      </w:pPr>
      <w:r w:rsidRPr="00674C14">
        <w:rPr>
          <w:sz w:val="22"/>
          <w:szCs w:val="22"/>
        </w:rPr>
        <w:t>Desk research has been undertaken using a variety of information sources</w:t>
      </w:r>
      <w:r w:rsidR="00303C2D">
        <w:rPr>
          <w:sz w:val="22"/>
          <w:szCs w:val="22"/>
        </w:rPr>
        <w:t>, plus the results of the 2022 Resident</w:t>
      </w:r>
      <w:r w:rsidR="0041063A">
        <w:rPr>
          <w:sz w:val="22"/>
          <w:szCs w:val="22"/>
        </w:rPr>
        <w:t>’</w:t>
      </w:r>
      <w:r w:rsidR="00303C2D">
        <w:rPr>
          <w:sz w:val="22"/>
          <w:szCs w:val="22"/>
        </w:rPr>
        <w:t>s Survey</w:t>
      </w:r>
      <w:r w:rsidR="00A94045" w:rsidRPr="00674C14">
        <w:rPr>
          <w:sz w:val="22"/>
          <w:szCs w:val="22"/>
        </w:rPr>
        <w:t>.</w:t>
      </w:r>
      <w:r w:rsidR="00B1663C" w:rsidRPr="00674C14">
        <w:rPr>
          <w:sz w:val="22"/>
          <w:szCs w:val="22"/>
        </w:rPr>
        <w:t xml:space="preserve">  </w:t>
      </w:r>
    </w:p>
    <w:p w14:paraId="26EB121A" w14:textId="5591A4A2" w:rsidR="004845A1" w:rsidRPr="00674C14" w:rsidRDefault="00EB7166" w:rsidP="00034A2D">
      <w:pPr>
        <w:pStyle w:val="BodyText"/>
        <w:numPr>
          <w:ilvl w:val="1"/>
          <w:numId w:val="10"/>
        </w:numPr>
        <w:ind w:left="709" w:right="421" w:hanging="709"/>
        <w:jc w:val="left"/>
        <w:rPr>
          <w:sz w:val="22"/>
          <w:szCs w:val="22"/>
        </w:rPr>
      </w:pPr>
      <w:r w:rsidRPr="00674C14">
        <w:rPr>
          <w:sz w:val="22"/>
          <w:szCs w:val="22"/>
        </w:rPr>
        <w:t xml:space="preserve">The report contains the current State of the </w:t>
      </w:r>
      <w:r w:rsidR="001D61F1" w:rsidRPr="00674C14">
        <w:rPr>
          <w:sz w:val="22"/>
          <w:szCs w:val="22"/>
        </w:rPr>
        <w:t>District</w:t>
      </w:r>
      <w:r w:rsidRPr="00674C14">
        <w:rPr>
          <w:sz w:val="22"/>
          <w:szCs w:val="22"/>
        </w:rPr>
        <w:t xml:space="preserve"> in terms of data and contains information from different sources. It covers many different areas from health to the economy, not all of which Stratford-on-Avon </w:t>
      </w:r>
      <w:r w:rsidR="001D61F1" w:rsidRPr="00674C14">
        <w:rPr>
          <w:sz w:val="22"/>
          <w:szCs w:val="22"/>
        </w:rPr>
        <w:t>District</w:t>
      </w:r>
      <w:r w:rsidRPr="00674C14">
        <w:rPr>
          <w:sz w:val="22"/>
          <w:szCs w:val="22"/>
        </w:rPr>
        <w:t xml:space="preserve"> Council (SDC) can influence. It is important to note that the figures included in the report </w:t>
      </w:r>
      <w:r w:rsidR="00C867DA" w:rsidRPr="00674C14">
        <w:rPr>
          <w:sz w:val="22"/>
          <w:szCs w:val="22"/>
        </w:rPr>
        <w:t>are</w:t>
      </w:r>
      <w:r w:rsidRPr="00674C14">
        <w:rPr>
          <w:sz w:val="22"/>
          <w:szCs w:val="22"/>
        </w:rPr>
        <w:t xml:space="preserve"> from the most relevant data available and reference to events happening at the Council</w:t>
      </w:r>
      <w:r w:rsidR="00674C14" w:rsidRPr="00674C14">
        <w:rPr>
          <w:sz w:val="22"/>
          <w:szCs w:val="22"/>
        </w:rPr>
        <w:t>,</w:t>
      </w:r>
      <w:r w:rsidRPr="00674C14">
        <w:rPr>
          <w:sz w:val="22"/>
          <w:szCs w:val="22"/>
        </w:rPr>
        <w:t xml:space="preserve"> refer to </w:t>
      </w:r>
      <w:r w:rsidR="00971D42" w:rsidRPr="00674C14">
        <w:rPr>
          <w:sz w:val="22"/>
          <w:szCs w:val="22"/>
        </w:rPr>
        <w:t xml:space="preserve">the year ending </w:t>
      </w:r>
      <w:r w:rsidRPr="00674C14">
        <w:rPr>
          <w:sz w:val="22"/>
          <w:szCs w:val="22"/>
        </w:rPr>
        <w:t>31 March 202</w:t>
      </w:r>
      <w:r w:rsidR="004845A1" w:rsidRPr="00674C14">
        <w:rPr>
          <w:sz w:val="22"/>
          <w:szCs w:val="22"/>
        </w:rPr>
        <w:t>2</w:t>
      </w:r>
      <w:r w:rsidR="00507A7F">
        <w:rPr>
          <w:sz w:val="22"/>
          <w:szCs w:val="22"/>
        </w:rPr>
        <w:t>,</w:t>
      </w:r>
      <w:r w:rsidRPr="00674C14">
        <w:rPr>
          <w:sz w:val="22"/>
          <w:szCs w:val="22"/>
        </w:rPr>
        <w:t xml:space="preserve"> for the most part.</w:t>
      </w:r>
    </w:p>
    <w:p w14:paraId="2066380F" w14:textId="78062CE3" w:rsidR="00EB7166" w:rsidRPr="0038113D" w:rsidRDefault="007E04EC" w:rsidP="00034A2D">
      <w:pPr>
        <w:pStyle w:val="BodyText"/>
        <w:numPr>
          <w:ilvl w:val="1"/>
          <w:numId w:val="10"/>
        </w:numPr>
        <w:ind w:left="709" w:right="421" w:hanging="709"/>
        <w:jc w:val="left"/>
        <w:rPr>
          <w:sz w:val="22"/>
          <w:szCs w:val="22"/>
        </w:rPr>
      </w:pPr>
      <w:r w:rsidRPr="0038113D">
        <w:rPr>
          <w:b/>
          <w:sz w:val="22"/>
          <w:szCs w:val="22"/>
        </w:rPr>
        <w:lastRenderedPageBreak/>
        <w:t>Appendix 1</w:t>
      </w:r>
      <w:r w:rsidRPr="0038113D">
        <w:rPr>
          <w:sz w:val="22"/>
          <w:szCs w:val="22"/>
        </w:rPr>
        <w:t xml:space="preserve"> contains a summary of the State of the District in the form of an infographic.</w:t>
      </w:r>
    </w:p>
    <w:p w14:paraId="5C94B3C2" w14:textId="39AFECC3" w:rsidR="00D81BFA" w:rsidRPr="00E55171" w:rsidRDefault="008915E5" w:rsidP="00E55171">
      <w:pPr>
        <w:pStyle w:val="ListParagraph"/>
        <w:numPr>
          <w:ilvl w:val="0"/>
          <w:numId w:val="10"/>
        </w:numPr>
        <w:tabs>
          <w:tab w:val="left" w:pos="709"/>
        </w:tabs>
        <w:ind w:left="709" w:hanging="709"/>
        <w:contextualSpacing w:val="0"/>
        <w:rPr>
          <w:b/>
          <w:sz w:val="22"/>
          <w:szCs w:val="22"/>
        </w:rPr>
      </w:pPr>
      <w:r w:rsidRPr="005C6EB4">
        <w:rPr>
          <w:b/>
          <w:sz w:val="22"/>
          <w:szCs w:val="22"/>
        </w:rPr>
        <w:t>Population</w:t>
      </w:r>
      <w:r w:rsidR="00EB7166" w:rsidRPr="005C6EB4">
        <w:rPr>
          <w:b/>
          <w:sz w:val="22"/>
          <w:szCs w:val="22"/>
        </w:rPr>
        <w:t xml:space="preserve"> </w:t>
      </w:r>
    </w:p>
    <w:tbl>
      <w:tblPr>
        <w:tblStyle w:val="TableGrid"/>
        <w:tblW w:w="0" w:type="auto"/>
        <w:jc w:val="center"/>
        <w:tblLook w:val="04A0" w:firstRow="1" w:lastRow="0" w:firstColumn="1" w:lastColumn="0" w:noHBand="0" w:noVBand="1"/>
      </w:tblPr>
      <w:tblGrid>
        <w:gridCol w:w="4678"/>
        <w:gridCol w:w="3402"/>
      </w:tblGrid>
      <w:tr w:rsidR="00F24499" w:rsidRPr="00F24499" w14:paraId="0124E323" w14:textId="77777777" w:rsidTr="00610EF3">
        <w:trPr>
          <w:jc w:val="center"/>
        </w:trPr>
        <w:tc>
          <w:tcPr>
            <w:tcW w:w="8080" w:type="dxa"/>
            <w:gridSpan w:val="2"/>
            <w:shd w:val="clear" w:color="auto" w:fill="D9D9D9" w:themeFill="background1" w:themeFillShade="D9"/>
          </w:tcPr>
          <w:p w14:paraId="0FDBDFC9" w14:textId="77777777" w:rsidR="00371AA3" w:rsidRPr="00F24499" w:rsidRDefault="00371AA3" w:rsidP="006A7523">
            <w:pPr>
              <w:ind w:left="0" w:firstLine="0"/>
              <w:rPr>
                <w:b/>
                <w:sz w:val="22"/>
                <w:szCs w:val="22"/>
              </w:rPr>
            </w:pPr>
            <w:r w:rsidRPr="00F24499">
              <w:rPr>
                <w:b/>
                <w:sz w:val="22"/>
                <w:szCs w:val="22"/>
              </w:rPr>
              <w:t>Key Facts</w:t>
            </w:r>
            <w:r w:rsidR="00EB7166" w:rsidRPr="00F24499">
              <w:rPr>
                <w:b/>
                <w:sz w:val="22"/>
                <w:szCs w:val="22"/>
              </w:rPr>
              <w:t xml:space="preserve">  </w:t>
            </w:r>
          </w:p>
        </w:tc>
      </w:tr>
      <w:tr w:rsidR="00F24499" w:rsidRPr="00F24499" w14:paraId="669EAF99" w14:textId="77777777" w:rsidTr="00610EF3">
        <w:trPr>
          <w:jc w:val="center"/>
        </w:trPr>
        <w:tc>
          <w:tcPr>
            <w:tcW w:w="4678" w:type="dxa"/>
          </w:tcPr>
          <w:p w14:paraId="7F2A6345" w14:textId="77777777" w:rsidR="00371AA3" w:rsidRPr="00F24499" w:rsidRDefault="00371AA3" w:rsidP="006A7523">
            <w:pPr>
              <w:ind w:left="0" w:firstLine="0"/>
              <w:rPr>
                <w:sz w:val="22"/>
                <w:szCs w:val="22"/>
              </w:rPr>
            </w:pPr>
            <w:r w:rsidRPr="00F24499">
              <w:rPr>
                <w:sz w:val="22"/>
                <w:szCs w:val="22"/>
              </w:rPr>
              <w:t>Population</w:t>
            </w:r>
          </w:p>
        </w:tc>
        <w:tc>
          <w:tcPr>
            <w:tcW w:w="3402" w:type="dxa"/>
          </w:tcPr>
          <w:p w14:paraId="182F38B1" w14:textId="7B90D6C3" w:rsidR="00371AA3" w:rsidRPr="00F24499" w:rsidRDefault="00B80ACB" w:rsidP="00F85679">
            <w:pPr>
              <w:ind w:left="0" w:firstLine="0"/>
              <w:jc w:val="center"/>
              <w:rPr>
                <w:sz w:val="22"/>
                <w:szCs w:val="22"/>
              </w:rPr>
            </w:pPr>
            <w:r w:rsidRPr="00F24499">
              <w:rPr>
                <w:sz w:val="22"/>
                <w:szCs w:val="22"/>
              </w:rPr>
              <w:t>13</w:t>
            </w:r>
            <w:r w:rsidR="00AD1033" w:rsidRPr="00F24499">
              <w:rPr>
                <w:sz w:val="22"/>
                <w:szCs w:val="22"/>
              </w:rPr>
              <w:t>4,700</w:t>
            </w:r>
          </w:p>
        </w:tc>
      </w:tr>
      <w:tr w:rsidR="00F24499" w:rsidRPr="00F24499" w14:paraId="54D33D43" w14:textId="77777777" w:rsidTr="00610EF3">
        <w:trPr>
          <w:jc w:val="center"/>
        </w:trPr>
        <w:tc>
          <w:tcPr>
            <w:tcW w:w="4678" w:type="dxa"/>
          </w:tcPr>
          <w:p w14:paraId="70C35D7E" w14:textId="65E01F27" w:rsidR="00371AA3" w:rsidRPr="00F24499" w:rsidRDefault="00371AA3" w:rsidP="0053140F">
            <w:pPr>
              <w:ind w:left="0" w:firstLine="0"/>
              <w:rPr>
                <w:sz w:val="22"/>
                <w:szCs w:val="22"/>
              </w:rPr>
            </w:pPr>
            <w:r w:rsidRPr="00F24499">
              <w:rPr>
                <w:sz w:val="22"/>
                <w:szCs w:val="22"/>
              </w:rPr>
              <w:t>Change on mid-20</w:t>
            </w:r>
            <w:r w:rsidR="00F24499">
              <w:rPr>
                <w:sz w:val="22"/>
                <w:szCs w:val="22"/>
              </w:rPr>
              <w:t>20</w:t>
            </w:r>
          </w:p>
        </w:tc>
        <w:tc>
          <w:tcPr>
            <w:tcW w:w="3402" w:type="dxa"/>
          </w:tcPr>
          <w:p w14:paraId="11E68D9B" w14:textId="6071AAB7" w:rsidR="00371AA3" w:rsidRPr="00F24499" w:rsidRDefault="00B80ACB" w:rsidP="00F85679">
            <w:pPr>
              <w:ind w:left="0" w:firstLine="0"/>
              <w:jc w:val="center"/>
              <w:rPr>
                <w:sz w:val="22"/>
                <w:szCs w:val="22"/>
              </w:rPr>
            </w:pPr>
            <w:r w:rsidRPr="00F24499">
              <w:rPr>
                <w:sz w:val="22"/>
                <w:szCs w:val="22"/>
              </w:rPr>
              <w:t>+2,30</w:t>
            </w:r>
            <w:r w:rsidR="00AD1033" w:rsidRPr="00F24499">
              <w:rPr>
                <w:sz w:val="22"/>
                <w:szCs w:val="22"/>
              </w:rPr>
              <w:t>0</w:t>
            </w:r>
          </w:p>
        </w:tc>
      </w:tr>
      <w:tr w:rsidR="00F24499" w:rsidRPr="00F24499" w14:paraId="35B3025B" w14:textId="77777777" w:rsidTr="00610EF3">
        <w:trPr>
          <w:jc w:val="center"/>
        </w:trPr>
        <w:tc>
          <w:tcPr>
            <w:tcW w:w="4678" w:type="dxa"/>
          </w:tcPr>
          <w:p w14:paraId="46E217E5" w14:textId="77777777" w:rsidR="00371AA3" w:rsidRPr="00F24499" w:rsidRDefault="00371AA3" w:rsidP="006A7523">
            <w:pPr>
              <w:ind w:left="0" w:firstLine="0"/>
              <w:rPr>
                <w:sz w:val="22"/>
                <w:szCs w:val="22"/>
              </w:rPr>
            </w:pPr>
            <w:r w:rsidRPr="00F24499">
              <w:rPr>
                <w:sz w:val="22"/>
                <w:szCs w:val="22"/>
              </w:rPr>
              <w:t>Me</w:t>
            </w:r>
            <w:r w:rsidR="00E35972" w:rsidRPr="00F24499">
              <w:rPr>
                <w:sz w:val="22"/>
                <w:szCs w:val="22"/>
              </w:rPr>
              <w:t>di</w:t>
            </w:r>
            <w:r w:rsidRPr="00F24499">
              <w:rPr>
                <w:sz w:val="22"/>
                <w:szCs w:val="22"/>
              </w:rPr>
              <w:t>an Age</w:t>
            </w:r>
          </w:p>
        </w:tc>
        <w:tc>
          <w:tcPr>
            <w:tcW w:w="3402" w:type="dxa"/>
          </w:tcPr>
          <w:p w14:paraId="6ABB7CE3" w14:textId="77777777" w:rsidR="00371AA3" w:rsidRPr="00F24499" w:rsidRDefault="00E35972" w:rsidP="00F85679">
            <w:pPr>
              <w:ind w:left="0" w:firstLine="0"/>
              <w:jc w:val="center"/>
              <w:rPr>
                <w:sz w:val="22"/>
                <w:szCs w:val="22"/>
              </w:rPr>
            </w:pPr>
            <w:r w:rsidRPr="00F24499">
              <w:rPr>
                <w:sz w:val="22"/>
                <w:szCs w:val="22"/>
              </w:rPr>
              <w:t>48.2 years</w:t>
            </w:r>
          </w:p>
        </w:tc>
      </w:tr>
      <w:tr w:rsidR="00F24499" w:rsidRPr="00F24499" w14:paraId="12B35037" w14:textId="77777777" w:rsidTr="00610EF3">
        <w:trPr>
          <w:jc w:val="center"/>
        </w:trPr>
        <w:tc>
          <w:tcPr>
            <w:tcW w:w="4678" w:type="dxa"/>
          </w:tcPr>
          <w:p w14:paraId="2F6E3A7F" w14:textId="77777777" w:rsidR="00371AA3" w:rsidRPr="00F24499" w:rsidRDefault="00371AA3" w:rsidP="006A7523">
            <w:pPr>
              <w:ind w:left="0" w:firstLine="0"/>
              <w:rPr>
                <w:sz w:val="22"/>
                <w:szCs w:val="22"/>
              </w:rPr>
            </w:pPr>
            <w:r w:rsidRPr="00F24499">
              <w:rPr>
                <w:sz w:val="22"/>
                <w:szCs w:val="22"/>
              </w:rPr>
              <w:t>Density</w:t>
            </w:r>
          </w:p>
        </w:tc>
        <w:tc>
          <w:tcPr>
            <w:tcW w:w="3402" w:type="dxa"/>
          </w:tcPr>
          <w:p w14:paraId="32C6E105" w14:textId="016A4DBE" w:rsidR="00371AA3" w:rsidRPr="00F24499" w:rsidRDefault="00B80ACB" w:rsidP="00F85679">
            <w:pPr>
              <w:ind w:left="0" w:firstLine="0"/>
              <w:jc w:val="center"/>
              <w:rPr>
                <w:sz w:val="22"/>
                <w:szCs w:val="22"/>
              </w:rPr>
            </w:pPr>
            <w:r w:rsidRPr="00F24499">
              <w:rPr>
                <w:sz w:val="22"/>
                <w:szCs w:val="22"/>
              </w:rPr>
              <w:t>13</w:t>
            </w:r>
            <w:r w:rsidR="00F24499" w:rsidRPr="00F24499">
              <w:rPr>
                <w:sz w:val="22"/>
                <w:szCs w:val="22"/>
              </w:rPr>
              <w:t>8</w:t>
            </w:r>
            <w:r w:rsidR="00371AA3" w:rsidRPr="00F24499">
              <w:rPr>
                <w:sz w:val="22"/>
                <w:szCs w:val="22"/>
              </w:rPr>
              <w:t xml:space="preserve"> (people per km²)</w:t>
            </w:r>
          </w:p>
        </w:tc>
      </w:tr>
    </w:tbl>
    <w:p w14:paraId="56E5EC61" w14:textId="15CFAD67" w:rsidR="005C6EB4" w:rsidRPr="005C6EB4" w:rsidRDefault="005C6EB4" w:rsidP="005C6EB4">
      <w:pPr>
        <w:ind w:left="0" w:firstLine="0"/>
        <w:rPr>
          <w:b/>
          <w:color w:val="FF0000"/>
        </w:rPr>
      </w:pPr>
    </w:p>
    <w:p w14:paraId="4F4E0C2F" w14:textId="09B47DE3" w:rsidR="0030146E" w:rsidRPr="00E55171" w:rsidRDefault="00856AF1" w:rsidP="00034A2D">
      <w:pPr>
        <w:ind w:right="421"/>
        <w:jc w:val="left"/>
        <w:rPr>
          <w:b/>
          <w:i/>
          <w:iCs/>
          <w:vanish/>
          <w:sz w:val="22"/>
          <w:szCs w:val="22"/>
        </w:rPr>
      </w:pPr>
      <w:r>
        <w:rPr>
          <w:bCs/>
          <w:sz w:val="22"/>
          <w:szCs w:val="22"/>
        </w:rPr>
        <w:t>3</w:t>
      </w:r>
      <w:r w:rsidR="005C6EB4" w:rsidRPr="00E55171">
        <w:rPr>
          <w:bCs/>
          <w:sz w:val="22"/>
          <w:szCs w:val="22"/>
        </w:rPr>
        <w:t>.1</w:t>
      </w:r>
      <w:r w:rsidR="005C6EB4" w:rsidRPr="00E55171">
        <w:rPr>
          <w:bCs/>
          <w:sz w:val="22"/>
          <w:szCs w:val="22"/>
        </w:rPr>
        <w:tab/>
      </w:r>
    </w:p>
    <w:p w14:paraId="00363B73" w14:textId="77777777" w:rsidR="0028633D" w:rsidRPr="00E55171" w:rsidRDefault="0028633D" w:rsidP="00034A2D">
      <w:pPr>
        <w:pStyle w:val="ListParagraph"/>
        <w:numPr>
          <w:ilvl w:val="1"/>
          <w:numId w:val="10"/>
        </w:numPr>
        <w:ind w:right="421"/>
        <w:jc w:val="left"/>
        <w:rPr>
          <w:b/>
          <w:i/>
          <w:iCs/>
          <w:vanish/>
          <w:sz w:val="22"/>
          <w:szCs w:val="22"/>
        </w:rPr>
      </w:pPr>
      <w:r w:rsidRPr="00E55171">
        <w:rPr>
          <w:b/>
          <w:i/>
          <w:iCs/>
          <w:sz w:val="22"/>
          <w:szCs w:val="22"/>
        </w:rPr>
        <w:t>Population Size and Profile</w:t>
      </w:r>
    </w:p>
    <w:p w14:paraId="1CDC1496" w14:textId="77777777" w:rsidR="0030146E" w:rsidRPr="00610EF3" w:rsidRDefault="0030146E" w:rsidP="00610EF3">
      <w:pPr>
        <w:ind w:left="0" w:right="421" w:firstLine="0"/>
        <w:jc w:val="left"/>
        <w:rPr>
          <w:color w:val="FF0000"/>
          <w:sz w:val="22"/>
          <w:szCs w:val="22"/>
        </w:rPr>
      </w:pPr>
    </w:p>
    <w:p w14:paraId="420E7FC1" w14:textId="56154112" w:rsidR="006A7523" w:rsidRDefault="00381885" w:rsidP="00034A2D">
      <w:pPr>
        <w:pStyle w:val="ListParagraph"/>
        <w:numPr>
          <w:ilvl w:val="2"/>
          <w:numId w:val="10"/>
        </w:numPr>
        <w:ind w:right="421"/>
        <w:jc w:val="left"/>
        <w:rPr>
          <w:sz w:val="22"/>
          <w:szCs w:val="22"/>
        </w:rPr>
      </w:pPr>
      <w:r w:rsidRPr="004F19B4">
        <w:rPr>
          <w:sz w:val="22"/>
          <w:szCs w:val="22"/>
        </w:rPr>
        <w:t>According to the initial release of the Census 2021 data</w:t>
      </w:r>
      <w:r w:rsidR="00DC4296">
        <w:rPr>
          <w:sz w:val="22"/>
          <w:szCs w:val="22"/>
        </w:rPr>
        <w:t xml:space="preserve"> (at the time of writing much of the Census data had still not been published)</w:t>
      </w:r>
      <w:r w:rsidRPr="004F19B4">
        <w:rPr>
          <w:sz w:val="22"/>
          <w:szCs w:val="22"/>
        </w:rPr>
        <w:t>, t</w:t>
      </w:r>
      <w:r w:rsidR="006A7523" w:rsidRPr="004F19B4">
        <w:rPr>
          <w:sz w:val="22"/>
          <w:szCs w:val="22"/>
        </w:rPr>
        <w:t xml:space="preserve">he population of Stratford-on-Avon </w:t>
      </w:r>
      <w:r w:rsidR="001D61F1" w:rsidRPr="004F19B4">
        <w:rPr>
          <w:sz w:val="22"/>
          <w:szCs w:val="22"/>
        </w:rPr>
        <w:t>District</w:t>
      </w:r>
      <w:r w:rsidR="00B80ACB" w:rsidRPr="004F19B4">
        <w:rPr>
          <w:sz w:val="22"/>
          <w:szCs w:val="22"/>
        </w:rPr>
        <w:t xml:space="preserve"> </w:t>
      </w:r>
      <w:r w:rsidR="001E3DEB" w:rsidRPr="004F19B4">
        <w:rPr>
          <w:sz w:val="22"/>
          <w:szCs w:val="22"/>
        </w:rPr>
        <w:t xml:space="preserve">in March 2021 </w:t>
      </w:r>
      <w:r w:rsidR="00B80ACB" w:rsidRPr="004F19B4">
        <w:rPr>
          <w:sz w:val="22"/>
          <w:szCs w:val="22"/>
        </w:rPr>
        <w:t>was estimated to be 13</w:t>
      </w:r>
      <w:r w:rsidRPr="004F19B4">
        <w:rPr>
          <w:sz w:val="22"/>
          <w:szCs w:val="22"/>
        </w:rPr>
        <w:t>4,700</w:t>
      </w:r>
      <w:r w:rsidR="000D0CC8" w:rsidRPr="004F19B4">
        <w:rPr>
          <w:sz w:val="22"/>
          <w:szCs w:val="22"/>
        </w:rPr>
        <w:t xml:space="preserve">. This </w:t>
      </w:r>
      <w:r w:rsidR="006A7523" w:rsidRPr="004F19B4">
        <w:rPr>
          <w:sz w:val="22"/>
          <w:szCs w:val="22"/>
        </w:rPr>
        <w:t>represent</w:t>
      </w:r>
      <w:r w:rsidR="000D0CC8" w:rsidRPr="004F19B4">
        <w:rPr>
          <w:sz w:val="22"/>
          <w:szCs w:val="22"/>
        </w:rPr>
        <w:t>s</w:t>
      </w:r>
      <w:r w:rsidR="00B80ACB" w:rsidRPr="004F19B4">
        <w:rPr>
          <w:sz w:val="22"/>
          <w:szCs w:val="22"/>
        </w:rPr>
        <w:t xml:space="preserve"> an estimated increase of 2,30</w:t>
      </w:r>
      <w:r w:rsidR="000D0CC8" w:rsidRPr="004F19B4">
        <w:rPr>
          <w:sz w:val="22"/>
          <w:szCs w:val="22"/>
        </w:rPr>
        <w:t>0</w:t>
      </w:r>
      <w:r w:rsidR="00B80ACB" w:rsidRPr="004F19B4">
        <w:rPr>
          <w:sz w:val="22"/>
          <w:szCs w:val="22"/>
        </w:rPr>
        <w:t>,</w:t>
      </w:r>
      <w:r w:rsidR="005131B8" w:rsidRPr="004F19B4">
        <w:rPr>
          <w:sz w:val="22"/>
          <w:szCs w:val="22"/>
        </w:rPr>
        <w:t xml:space="preserve"> </w:t>
      </w:r>
      <w:r w:rsidR="00B80ACB" w:rsidRPr="004F19B4">
        <w:rPr>
          <w:sz w:val="22"/>
          <w:szCs w:val="22"/>
        </w:rPr>
        <w:t>or 1.7</w:t>
      </w:r>
      <w:r w:rsidR="001A76A6" w:rsidRPr="004F19B4">
        <w:rPr>
          <w:sz w:val="22"/>
          <w:szCs w:val="22"/>
        </w:rPr>
        <w:t>3</w:t>
      </w:r>
      <w:r w:rsidR="00B80ACB" w:rsidRPr="004F19B4">
        <w:rPr>
          <w:sz w:val="22"/>
          <w:szCs w:val="22"/>
        </w:rPr>
        <w:t xml:space="preserve">%, </w:t>
      </w:r>
      <w:r w:rsidR="005131B8" w:rsidRPr="004F19B4">
        <w:rPr>
          <w:sz w:val="22"/>
          <w:szCs w:val="22"/>
        </w:rPr>
        <w:t>on mid-20</w:t>
      </w:r>
      <w:r w:rsidR="000D0CC8" w:rsidRPr="004F19B4">
        <w:rPr>
          <w:sz w:val="22"/>
          <w:szCs w:val="22"/>
        </w:rPr>
        <w:t>20</w:t>
      </w:r>
      <w:r w:rsidR="005131B8" w:rsidRPr="004F19B4">
        <w:rPr>
          <w:rStyle w:val="EndnoteReference"/>
          <w:sz w:val="22"/>
          <w:szCs w:val="22"/>
        </w:rPr>
        <w:endnoteReference w:id="2"/>
      </w:r>
      <w:r w:rsidR="005131B8" w:rsidRPr="004F19B4">
        <w:rPr>
          <w:sz w:val="22"/>
          <w:szCs w:val="22"/>
        </w:rPr>
        <w:t xml:space="preserve">. </w:t>
      </w:r>
      <w:r w:rsidR="00A77491" w:rsidRPr="004F19B4">
        <w:rPr>
          <w:sz w:val="22"/>
          <w:szCs w:val="22"/>
        </w:rPr>
        <w:t xml:space="preserve">As can be seen in Figure 1, </w:t>
      </w:r>
      <w:r w:rsidR="00632AAF" w:rsidRPr="004F19B4">
        <w:rPr>
          <w:sz w:val="22"/>
          <w:szCs w:val="22"/>
        </w:rPr>
        <w:t>increases</w:t>
      </w:r>
      <w:r w:rsidR="00D31EE9" w:rsidRPr="004F19B4">
        <w:rPr>
          <w:sz w:val="22"/>
          <w:szCs w:val="22"/>
        </w:rPr>
        <w:t xml:space="preserve"> in population have been much larger since 2015-16.</w:t>
      </w:r>
    </w:p>
    <w:p w14:paraId="086E39A4" w14:textId="07A603DA" w:rsidR="005C6EB4" w:rsidRDefault="005C6EB4" w:rsidP="005C6EB4">
      <w:pPr>
        <w:pStyle w:val="ListParagraph"/>
        <w:ind w:firstLine="0"/>
        <w:jc w:val="left"/>
        <w:rPr>
          <w:sz w:val="22"/>
          <w:szCs w:val="22"/>
        </w:rPr>
      </w:pPr>
    </w:p>
    <w:p w14:paraId="72BAC248" w14:textId="2375E9BD" w:rsidR="00D31EE9" w:rsidRPr="004F19B4" w:rsidRDefault="005C6EB4" w:rsidP="00D31EE9">
      <w:pPr>
        <w:pStyle w:val="ListParagraph"/>
        <w:ind w:firstLine="0"/>
        <w:jc w:val="left"/>
        <w:rPr>
          <w:sz w:val="22"/>
          <w:szCs w:val="22"/>
        </w:rPr>
      </w:pPr>
      <w:r>
        <w:rPr>
          <w:sz w:val="22"/>
          <w:szCs w:val="22"/>
        </w:rPr>
        <w:t>Figure 1</w:t>
      </w:r>
    </w:p>
    <w:p w14:paraId="65D87FF7" w14:textId="18C5F53F" w:rsidR="00632AAF" w:rsidRDefault="00632AAF" w:rsidP="004F19B4">
      <w:pPr>
        <w:jc w:val="center"/>
      </w:pPr>
      <w:r>
        <w:rPr>
          <w:noProof/>
        </w:rPr>
        <w:drawing>
          <wp:inline distT="0" distB="0" distL="0" distR="0" wp14:anchorId="7D5E4042" wp14:editId="587E2FA9">
            <wp:extent cx="5102225" cy="3105150"/>
            <wp:effectExtent l="0" t="0" r="3175" b="0"/>
            <wp:docPr id="10" name="Chart 10">
              <a:extLst xmlns:a="http://schemas.openxmlformats.org/drawingml/2006/main">
                <a:ext uri="{FF2B5EF4-FFF2-40B4-BE49-F238E27FC236}">
                  <a16:creationId xmlns:a16="http://schemas.microsoft.com/office/drawing/2014/main" id="{5BAA7DD3-9396-4033-B308-5692C61697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BE84A2" w14:textId="77777777" w:rsidR="00791CE8" w:rsidRPr="00632AAF" w:rsidRDefault="00791CE8" w:rsidP="00F35F5F">
      <w:pPr>
        <w:pStyle w:val="NoSpacing"/>
      </w:pPr>
    </w:p>
    <w:p w14:paraId="1C94EE10" w14:textId="6F47E3B0" w:rsidR="0028633D" w:rsidRPr="000C2EB7" w:rsidRDefault="0028633D" w:rsidP="00034A2D">
      <w:pPr>
        <w:ind w:left="0" w:right="421" w:firstLine="0"/>
        <w:jc w:val="left"/>
        <w:rPr>
          <w:vanish/>
          <w:color w:val="FF0000"/>
          <w:sz w:val="22"/>
          <w:szCs w:val="22"/>
        </w:rPr>
      </w:pPr>
    </w:p>
    <w:p w14:paraId="663FC053" w14:textId="1C1AACA5" w:rsidR="00FF2AA8" w:rsidRPr="002B0476" w:rsidRDefault="008915E5" w:rsidP="00034A2D">
      <w:pPr>
        <w:pStyle w:val="ListParagraph"/>
        <w:keepNext/>
        <w:numPr>
          <w:ilvl w:val="2"/>
          <w:numId w:val="10"/>
        </w:numPr>
        <w:ind w:right="421"/>
        <w:jc w:val="left"/>
      </w:pPr>
      <w:r w:rsidRPr="004F19B4">
        <w:rPr>
          <w:sz w:val="22"/>
          <w:szCs w:val="22"/>
        </w:rPr>
        <w:t>T</w:t>
      </w:r>
      <w:r w:rsidR="00754433" w:rsidRPr="004F19B4">
        <w:rPr>
          <w:sz w:val="22"/>
          <w:szCs w:val="22"/>
        </w:rPr>
        <w:t xml:space="preserve">he </w:t>
      </w:r>
      <w:r w:rsidR="00D81BFA" w:rsidRPr="004F19B4">
        <w:rPr>
          <w:sz w:val="22"/>
          <w:szCs w:val="22"/>
        </w:rPr>
        <w:t xml:space="preserve">population of Stratford-on-Avon </w:t>
      </w:r>
      <w:r w:rsidR="00D62FE6">
        <w:rPr>
          <w:sz w:val="22"/>
          <w:szCs w:val="22"/>
        </w:rPr>
        <w:t>D</w:t>
      </w:r>
      <w:r w:rsidR="00D81BFA" w:rsidRPr="004F19B4">
        <w:rPr>
          <w:sz w:val="22"/>
          <w:szCs w:val="22"/>
        </w:rPr>
        <w:t xml:space="preserve">istrict is estimated to have increased by </w:t>
      </w:r>
      <w:r w:rsidR="0091352D" w:rsidRPr="004F19B4">
        <w:rPr>
          <w:sz w:val="22"/>
          <w:szCs w:val="22"/>
        </w:rPr>
        <w:t>11.8% between 2011-2021</w:t>
      </w:r>
      <w:r w:rsidR="00D62FE6">
        <w:rPr>
          <w:sz w:val="22"/>
          <w:szCs w:val="22"/>
        </w:rPr>
        <w:t>.</w:t>
      </w:r>
      <w:r w:rsidR="00D81BFA" w:rsidRPr="004F19B4">
        <w:rPr>
          <w:sz w:val="22"/>
          <w:szCs w:val="22"/>
        </w:rPr>
        <w:t xml:space="preserve"> This is the </w:t>
      </w:r>
      <w:r w:rsidR="00E12EA2" w:rsidRPr="004F19B4">
        <w:rPr>
          <w:sz w:val="22"/>
          <w:szCs w:val="22"/>
        </w:rPr>
        <w:t xml:space="preserve">third </w:t>
      </w:r>
      <w:r w:rsidR="00D81BFA" w:rsidRPr="004F19B4">
        <w:rPr>
          <w:sz w:val="22"/>
          <w:szCs w:val="22"/>
        </w:rPr>
        <w:t>highest population increase of all authorities within the West Midlands region</w:t>
      </w:r>
      <w:r w:rsidR="00E12EA2" w:rsidRPr="004F19B4">
        <w:rPr>
          <w:sz w:val="22"/>
          <w:szCs w:val="22"/>
        </w:rPr>
        <w:t xml:space="preserve">: only Rugby </w:t>
      </w:r>
      <w:r w:rsidR="00983C80" w:rsidRPr="004F19B4">
        <w:rPr>
          <w:sz w:val="22"/>
          <w:szCs w:val="22"/>
        </w:rPr>
        <w:t>and Wychavon grew more – by 14.</w:t>
      </w:r>
      <w:r w:rsidR="00442728" w:rsidRPr="004F19B4">
        <w:rPr>
          <w:sz w:val="22"/>
          <w:szCs w:val="22"/>
        </w:rPr>
        <w:t>3</w:t>
      </w:r>
      <w:r w:rsidR="00983C80" w:rsidRPr="004F19B4">
        <w:rPr>
          <w:sz w:val="22"/>
          <w:szCs w:val="22"/>
        </w:rPr>
        <w:t xml:space="preserve">% and </w:t>
      </w:r>
      <w:r w:rsidR="00442728" w:rsidRPr="004F19B4">
        <w:rPr>
          <w:sz w:val="22"/>
          <w:szCs w:val="22"/>
        </w:rPr>
        <w:t>13.3% respectively.</w:t>
      </w:r>
      <w:r w:rsidR="00030F31" w:rsidRPr="004F19B4">
        <w:rPr>
          <w:sz w:val="22"/>
          <w:szCs w:val="22"/>
        </w:rPr>
        <w:t xml:space="preserve"> </w:t>
      </w:r>
      <w:r w:rsidR="00330A68" w:rsidRPr="00330A68">
        <w:rPr>
          <w:sz w:val="22"/>
          <w:szCs w:val="22"/>
        </w:rPr>
        <w:t xml:space="preserve">With a growth of 11.8%, Stratford-on-Avon sits in the upper half of all authorities for growth (see Figure 2). Tower Hamlets in London saw the largest growth </w:t>
      </w:r>
      <w:r w:rsidR="00330A68" w:rsidRPr="00330A68">
        <w:rPr>
          <w:sz w:val="22"/>
          <w:szCs w:val="22"/>
        </w:rPr>
        <w:lastRenderedPageBreak/>
        <w:t>over the last ten years at 22.1%, with Dartford second with a growth of 20%.</w:t>
      </w:r>
    </w:p>
    <w:p w14:paraId="1EEA98D8" w14:textId="77777777" w:rsidR="00610EF3" w:rsidRPr="002B0476" w:rsidRDefault="00610EF3" w:rsidP="002B0476">
      <w:pPr>
        <w:pStyle w:val="ListParagraph"/>
        <w:keepNext/>
        <w:ind w:firstLine="0"/>
        <w:jc w:val="left"/>
      </w:pPr>
    </w:p>
    <w:p w14:paraId="7D2D9E1F" w14:textId="28F662F9" w:rsidR="002B0476" w:rsidRPr="002B0476" w:rsidRDefault="002B0476" w:rsidP="002B0476">
      <w:pPr>
        <w:ind w:left="1440"/>
        <w:rPr>
          <w:sz w:val="22"/>
          <w:szCs w:val="22"/>
        </w:rPr>
      </w:pPr>
      <w:r w:rsidRPr="002B0476">
        <w:rPr>
          <w:sz w:val="22"/>
          <w:szCs w:val="22"/>
        </w:rPr>
        <w:t>Figure 2</w:t>
      </w:r>
    </w:p>
    <w:p w14:paraId="2A92F2C8" w14:textId="648A3A7E" w:rsidR="00030F31" w:rsidRPr="00030F31" w:rsidRDefault="00030F31" w:rsidP="004A262F">
      <w:pPr>
        <w:jc w:val="center"/>
        <w:rPr>
          <w:color w:val="FF0000"/>
          <w:sz w:val="22"/>
          <w:szCs w:val="22"/>
        </w:rPr>
      </w:pPr>
      <w:r>
        <w:rPr>
          <w:noProof/>
        </w:rPr>
        <w:drawing>
          <wp:inline distT="0" distB="0" distL="0" distR="0" wp14:anchorId="25F2EA3D" wp14:editId="7310E04D">
            <wp:extent cx="5731510" cy="3731895"/>
            <wp:effectExtent l="0" t="0" r="254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3731895"/>
                    </a:xfrm>
                    <a:prstGeom prst="rect">
                      <a:avLst/>
                    </a:prstGeom>
                  </pic:spPr>
                </pic:pic>
              </a:graphicData>
            </a:graphic>
          </wp:inline>
        </w:drawing>
      </w:r>
    </w:p>
    <w:p w14:paraId="77C92C30" w14:textId="3B12A930" w:rsidR="00D81BFA" w:rsidRPr="00610EF3" w:rsidRDefault="00D81BFA" w:rsidP="00610EF3">
      <w:pPr>
        <w:pStyle w:val="ListParagraph"/>
        <w:numPr>
          <w:ilvl w:val="2"/>
          <w:numId w:val="10"/>
        </w:numPr>
        <w:ind w:right="420"/>
        <w:contextualSpacing w:val="0"/>
        <w:jc w:val="left"/>
        <w:rPr>
          <w:sz w:val="22"/>
          <w:szCs w:val="22"/>
        </w:rPr>
      </w:pPr>
      <w:r w:rsidRPr="00330A68">
        <w:rPr>
          <w:sz w:val="22"/>
          <w:szCs w:val="22"/>
        </w:rPr>
        <w:t>The a</w:t>
      </w:r>
      <w:r w:rsidR="00754433" w:rsidRPr="00330A68">
        <w:rPr>
          <w:sz w:val="22"/>
          <w:szCs w:val="22"/>
        </w:rPr>
        <w:t xml:space="preserve">rea of Stratford-on-Avon </w:t>
      </w:r>
      <w:r w:rsidR="001D61F1" w:rsidRPr="00330A68">
        <w:rPr>
          <w:sz w:val="22"/>
          <w:szCs w:val="22"/>
        </w:rPr>
        <w:t>District</w:t>
      </w:r>
      <w:r w:rsidR="00754433" w:rsidRPr="00330A68">
        <w:rPr>
          <w:sz w:val="22"/>
          <w:szCs w:val="22"/>
        </w:rPr>
        <w:t xml:space="preserve"> is 978km²</w:t>
      </w:r>
      <w:r w:rsidR="00B40F7D" w:rsidRPr="00330A68">
        <w:rPr>
          <w:sz w:val="22"/>
          <w:szCs w:val="22"/>
        </w:rPr>
        <w:t>, there</w:t>
      </w:r>
      <w:r w:rsidR="00B80ACB" w:rsidRPr="00330A68">
        <w:rPr>
          <w:sz w:val="22"/>
          <w:szCs w:val="22"/>
        </w:rPr>
        <w:t>fore population density mid-202</w:t>
      </w:r>
      <w:r w:rsidR="00330A68" w:rsidRPr="00330A68">
        <w:rPr>
          <w:sz w:val="22"/>
          <w:szCs w:val="22"/>
        </w:rPr>
        <w:t>1</w:t>
      </w:r>
      <w:r w:rsidR="00B80ACB" w:rsidRPr="00330A68">
        <w:rPr>
          <w:sz w:val="22"/>
          <w:szCs w:val="22"/>
        </w:rPr>
        <w:t xml:space="preserve"> was estimated to be 13</w:t>
      </w:r>
      <w:r w:rsidR="00330A68" w:rsidRPr="00330A68">
        <w:rPr>
          <w:sz w:val="22"/>
          <w:szCs w:val="22"/>
        </w:rPr>
        <w:t xml:space="preserve">8 </w:t>
      </w:r>
      <w:r w:rsidR="00B40F7D" w:rsidRPr="00330A68">
        <w:rPr>
          <w:sz w:val="22"/>
          <w:szCs w:val="22"/>
        </w:rPr>
        <w:t xml:space="preserve">people per km². This places SDC </w:t>
      </w:r>
      <w:r w:rsidR="00B80ACB" w:rsidRPr="00330A68">
        <w:rPr>
          <w:sz w:val="22"/>
          <w:szCs w:val="22"/>
        </w:rPr>
        <w:t>in the 20% least densely populated local authorities.</w:t>
      </w:r>
    </w:p>
    <w:p w14:paraId="77D04B83" w14:textId="79876CCB" w:rsidR="00A045DF" w:rsidRPr="00610EF3" w:rsidRDefault="00371AA3" w:rsidP="00610EF3">
      <w:pPr>
        <w:pStyle w:val="ListParagraph"/>
        <w:numPr>
          <w:ilvl w:val="2"/>
          <w:numId w:val="10"/>
        </w:numPr>
        <w:ind w:right="420"/>
        <w:contextualSpacing w:val="0"/>
        <w:jc w:val="left"/>
        <w:rPr>
          <w:color w:val="FF0000"/>
          <w:sz w:val="22"/>
          <w:szCs w:val="22"/>
        </w:rPr>
      </w:pPr>
      <w:r w:rsidRPr="004F19B4">
        <w:rPr>
          <w:sz w:val="22"/>
          <w:szCs w:val="22"/>
        </w:rPr>
        <w:t xml:space="preserve">Figure </w:t>
      </w:r>
      <w:r w:rsidR="00330A68" w:rsidRPr="004F19B4">
        <w:rPr>
          <w:sz w:val="22"/>
          <w:szCs w:val="22"/>
        </w:rPr>
        <w:t>3</w:t>
      </w:r>
      <w:r w:rsidRPr="004F19B4">
        <w:rPr>
          <w:sz w:val="22"/>
          <w:szCs w:val="22"/>
        </w:rPr>
        <w:t xml:space="preserve"> shows the estimated demographic breakdown of the </w:t>
      </w:r>
      <w:r w:rsidR="001D61F1" w:rsidRPr="004F19B4">
        <w:rPr>
          <w:sz w:val="22"/>
          <w:szCs w:val="22"/>
        </w:rPr>
        <w:t>District</w:t>
      </w:r>
      <w:r w:rsidR="00D10FAD" w:rsidRPr="004F19B4">
        <w:rPr>
          <w:sz w:val="22"/>
          <w:szCs w:val="22"/>
        </w:rPr>
        <w:t xml:space="preserve"> population mid-202</w:t>
      </w:r>
      <w:r w:rsidR="00330A68" w:rsidRPr="004F19B4">
        <w:rPr>
          <w:sz w:val="22"/>
          <w:szCs w:val="22"/>
        </w:rPr>
        <w:t>1</w:t>
      </w:r>
      <w:r w:rsidR="00AE1C10">
        <w:rPr>
          <w:rStyle w:val="EndnoteReference"/>
          <w:sz w:val="22"/>
          <w:szCs w:val="22"/>
        </w:rPr>
        <w:endnoteReference w:id="3"/>
      </w:r>
      <w:r w:rsidRPr="004F19B4">
        <w:rPr>
          <w:sz w:val="22"/>
          <w:szCs w:val="22"/>
        </w:rPr>
        <w:t>. This shows clearly that the population is heavily weighted towards the older end of the scale. Over 65s make up just ove</w:t>
      </w:r>
      <w:r w:rsidR="00D10FAD" w:rsidRPr="004F19B4">
        <w:rPr>
          <w:sz w:val="22"/>
          <w:szCs w:val="22"/>
        </w:rPr>
        <w:t xml:space="preserve">r 25% of the population, with </w:t>
      </w:r>
      <w:r w:rsidR="007E0B62">
        <w:rPr>
          <w:sz w:val="22"/>
          <w:szCs w:val="22"/>
        </w:rPr>
        <w:t>60</w:t>
      </w:r>
      <w:r w:rsidRPr="004F19B4">
        <w:rPr>
          <w:sz w:val="22"/>
          <w:szCs w:val="22"/>
        </w:rPr>
        <w:t xml:space="preserve">% </w:t>
      </w:r>
      <w:r w:rsidR="00D10FAD" w:rsidRPr="004F19B4">
        <w:rPr>
          <w:sz w:val="22"/>
          <w:szCs w:val="22"/>
        </w:rPr>
        <w:t>aged between 18-64 years, and 1</w:t>
      </w:r>
      <w:r w:rsidR="00C45E11" w:rsidRPr="004F19B4">
        <w:rPr>
          <w:sz w:val="22"/>
          <w:szCs w:val="22"/>
        </w:rPr>
        <w:t>5</w:t>
      </w:r>
      <w:r w:rsidRPr="004F19B4">
        <w:rPr>
          <w:sz w:val="22"/>
          <w:szCs w:val="22"/>
        </w:rPr>
        <w:t xml:space="preserve">% under 18 years old. There are significantly fewer children and younger adults living in the </w:t>
      </w:r>
      <w:r w:rsidR="001D61F1" w:rsidRPr="004F19B4">
        <w:rPr>
          <w:sz w:val="22"/>
          <w:szCs w:val="22"/>
        </w:rPr>
        <w:t>District</w:t>
      </w:r>
      <w:r w:rsidRPr="004F19B4">
        <w:rPr>
          <w:sz w:val="22"/>
          <w:szCs w:val="22"/>
        </w:rPr>
        <w:t xml:space="preserve"> compared to the West Midlands region and England as a whole</w:t>
      </w:r>
      <w:r w:rsidRPr="004F19B4">
        <w:rPr>
          <w:rStyle w:val="EndnoteReference"/>
          <w:sz w:val="22"/>
          <w:szCs w:val="22"/>
        </w:rPr>
        <w:endnoteReference w:id="4"/>
      </w:r>
      <w:r w:rsidRPr="004F19B4">
        <w:rPr>
          <w:sz w:val="22"/>
          <w:szCs w:val="22"/>
        </w:rPr>
        <w:t xml:space="preserve">. </w:t>
      </w:r>
    </w:p>
    <w:p w14:paraId="5580D47E" w14:textId="7585E7A6" w:rsidR="00204E62" w:rsidRPr="00610EF3" w:rsidRDefault="00E35972" w:rsidP="00610EF3">
      <w:pPr>
        <w:pStyle w:val="ListParagraph"/>
        <w:numPr>
          <w:ilvl w:val="2"/>
          <w:numId w:val="10"/>
        </w:numPr>
        <w:ind w:right="420"/>
        <w:contextualSpacing w:val="0"/>
        <w:jc w:val="left"/>
        <w:rPr>
          <w:sz w:val="22"/>
          <w:szCs w:val="22"/>
        </w:rPr>
      </w:pPr>
      <w:r w:rsidRPr="00D04B85">
        <w:rPr>
          <w:sz w:val="22"/>
          <w:szCs w:val="22"/>
        </w:rPr>
        <w:t xml:space="preserve">The median age of the </w:t>
      </w:r>
      <w:r w:rsidR="001D61F1" w:rsidRPr="00D04B85">
        <w:rPr>
          <w:sz w:val="22"/>
          <w:szCs w:val="22"/>
        </w:rPr>
        <w:t>District</w:t>
      </w:r>
      <w:r w:rsidR="00E92D23" w:rsidRPr="00D04B85">
        <w:rPr>
          <w:sz w:val="22"/>
          <w:szCs w:val="22"/>
        </w:rPr>
        <w:t xml:space="preserve"> in 2020</w:t>
      </w:r>
      <w:r w:rsidRPr="00D04B85">
        <w:rPr>
          <w:sz w:val="22"/>
          <w:szCs w:val="22"/>
        </w:rPr>
        <w:t xml:space="preserve"> </w:t>
      </w:r>
      <w:r w:rsidR="008B05E6" w:rsidRPr="00D04B85">
        <w:rPr>
          <w:sz w:val="22"/>
          <w:szCs w:val="22"/>
        </w:rPr>
        <w:t>was</w:t>
      </w:r>
      <w:r w:rsidRPr="00D04B85">
        <w:rPr>
          <w:sz w:val="22"/>
          <w:szCs w:val="22"/>
        </w:rPr>
        <w:t xml:space="preserve"> 48.2 years</w:t>
      </w:r>
      <w:r w:rsidR="00CC2616" w:rsidRPr="00D04B85">
        <w:rPr>
          <w:sz w:val="22"/>
          <w:szCs w:val="22"/>
        </w:rPr>
        <w:t xml:space="preserve">, while the England median average age </w:t>
      </w:r>
      <w:r w:rsidR="00D04B85" w:rsidRPr="00D04B85">
        <w:rPr>
          <w:sz w:val="22"/>
          <w:szCs w:val="22"/>
        </w:rPr>
        <w:t>was</w:t>
      </w:r>
      <w:r w:rsidR="00CC2616" w:rsidRPr="00D04B85">
        <w:rPr>
          <w:sz w:val="22"/>
          <w:szCs w:val="22"/>
        </w:rPr>
        <w:t xml:space="preserve"> 40 years</w:t>
      </w:r>
      <w:r w:rsidR="00D10FAD" w:rsidRPr="00D04B85">
        <w:rPr>
          <w:sz w:val="22"/>
          <w:szCs w:val="22"/>
        </w:rPr>
        <w:t>. This places SDC at 55</w:t>
      </w:r>
      <w:r w:rsidR="00D45F4F" w:rsidRPr="00D45F4F">
        <w:rPr>
          <w:sz w:val="22"/>
          <w:szCs w:val="22"/>
          <w:vertAlign w:val="superscript"/>
        </w:rPr>
        <w:t>th</w:t>
      </w:r>
      <w:r w:rsidR="00D45F4F">
        <w:rPr>
          <w:sz w:val="22"/>
          <w:szCs w:val="22"/>
        </w:rPr>
        <w:t xml:space="preserve"> </w:t>
      </w:r>
      <w:r w:rsidRPr="00D04B85">
        <w:rPr>
          <w:sz w:val="22"/>
          <w:szCs w:val="22"/>
        </w:rPr>
        <w:t>oldest authority for m</w:t>
      </w:r>
      <w:r w:rsidR="00D10FAD" w:rsidRPr="00D04B85">
        <w:rPr>
          <w:sz w:val="22"/>
          <w:szCs w:val="22"/>
        </w:rPr>
        <w:t>edian age population, out of 380</w:t>
      </w:r>
      <w:r w:rsidRPr="00D04B85">
        <w:rPr>
          <w:sz w:val="22"/>
          <w:szCs w:val="22"/>
        </w:rPr>
        <w:t xml:space="preserve"> authorities across the UK</w:t>
      </w:r>
      <w:r w:rsidR="00A77491" w:rsidRPr="00D04B85">
        <w:rPr>
          <w:sz w:val="22"/>
          <w:szCs w:val="22"/>
        </w:rPr>
        <w:t xml:space="preserve">, and </w:t>
      </w:r>
      <w:r w:rsidR="00D10FAD" w:rsidRPr="00D04B85">
        <w:rPr>
          <w:sz w:val="22"/>
          <w:szCs w:val="22"/>
        </w:rPr>
        <w:t>fourth</w:t>
      </w:r>
      <w:r w:rsidR="00A77491" w:rsidRPr="00D04B85">
        <w:rPr>
          <w:sz w:val="22"/>
          <w:szCs w:val="22"/>
        </w:rPr>
        <w:t xml:space="preserve"> highest in the West Midlands after Malvern Hills </w:t>
      </w:r>
      <w:r w:rsidR="001D61F1" w:rsidRPr="00D04B85">
        <w:rPr>
          <w:sz w:val="22"/>
          <w:szCs w:val="22"/>
        </w:rPr>
        <w:t>District</w:t>
      </w:r>
      <w:r w:rsidR="00D10FAD" w:rsidRPr="00D04B85">
        <w:rPr>
          <w:sz w:val="22"/>
          <w:szCs w:val="22"/>
        </w:rPr>
        <w:t xml:space="preserve"> Council (50.9</w:t>
      </w:r>
      <w:r w:rsidR="00A77491" w:rsidRPr="00D04B85">
        <w:rPr>
          <w:sz w:val="22"/>
          <w:szCs w:val="22"/>
        </w:rPr>
        <w:t xml:space="preserve"> years)</w:t>
      </w:r>
      <w:r w:rsidR="00D10FAD" w:rsidRPr="00D04B85">
        <w:rPr>
          <w:sz w:val="22"/>
          <w:szCs w:val="22"/>
        </w:rPr>
        <w:t>, Staffordshire Moorlands (49.0</w:t>
      </w:r>
      <w:r w:rsidR="008A2C44" w:rsidRPr="00D04B85">
        <w:rPr>
          <w:sz w:val="22"/>
          <w:szCs w:val="22"/>
        </w:rPr>
        <w:t xml:space="preserve"> years)</w:t>
      </w:r>
      <w:r w:rsidR="00D10FAD" w:rsidRPr="00D04B85">
        <w:rPr>
          <w:sz w:val="22"/>
          <w:szCs w:val="22"/>
        </w:rPr>
        <w:t xml:space="preserve"> and Wychavon (48.4 years). </w:t>
      </w:r>
      <w:r w:rsidRPr="00D04B85">
        <w:rPr>
          <w:sz w:val="22"/>
          <w:szCs w:val="22"/>
        </w:rPr>
        <w:t>The oldest authority is North Norfolk, w</w:t>
      </w:r>
      <w:r w:rsidR="00D10FAD" w:rsidRPr="00D04B85">
        <w:rPr>
          <w:sz w:val="22"/>
          <w:szCs w:val="22"/>
        </w:rPr>
        <w:t>ith a median age of 54.7</w:t>
      </w:r>
      <w:r w:rsidR="00204E62" w:rsidRPr="00D04B85">
        <w:rPr>
          <w:sz w:val="22"/>
          <w:szCs w:val="22"/>
        </w:rPr>
        <w:t xml:space="preserve"> years.</w:t>
      </w:r>
    </w:p>
    <w:p w14:paraId="4BA29B41" w14:textId="570E339C" w:rsidR="005210E3" w:rsidRPr="002B0476" w:rsidRDefault="00371AA3" w:rsidP="00610EF3">
      <w:pPr>
        <w:pStyle w:val="ListParagraph"/>
        <w:numPr>
          <w:ilvl w:val="2"/>
          <w:numId w:val="10"/>
        </w:numPr>
        <w:ind w:right="420"/>
        <w:contextualSpacing w:val="0"/>
        <w:jc w:val="left"/>
      </w:pPr>
      <w:r w:rsidRPr="000E14AF">
        <w:rPr>
          <w:sz w:val="22"/>
          <w:szCs w:val="22"/>
        </w:rPr>
        <w:t>The male to female</w:t>
      </w:r>
      <w:r w:rsidR="00CC2553" w:rsidRPr="000E14AF">
        <w:rPr>
          <w:sz w:val="22"/>
          <w:szCs w:val="22"/>
        </w:rPr>
        <w:t xml:space="preserve"> ratio</w:t>
      </w:r>
      <w:r w:rsidR="000E14AF">
        <w:rPr>
          <w:sz w:val="22"/>
          <w:szCs w:val="22"/>
        </w:rPr>
        <w:t xml:space="preserve"> across the population</w:t>
      </w:r>
      <w:r w:rsidRPr="000E14AF">
        <w:rPr>
          <w:sz w:val="22"/>
          <w:szCs w:val="22"/>
        </w:rPr>
        <w:t xml:space="preserve"> is </w:t>
      </w:r>
      <w:r w:rsidR="000E14AF" w:rsidRPr="000E14AF">
        <w:rPr>
          <w:sz w:val="22"/>
          <w:szCs w:val="22"/>
        </w:rPr>
        <w:t xml:space="preserve">48.5% : 51.5%. </w:t>
      </w:r>
    </w:p>
    <w:p w14:paraId="3D225433" w14:textId="77777777" w:rsidR="002B0476" w:rsidRDefault="002B0476" w:rsidP="002B0476">
      <w:pPr>
        <w:pStyle w:val="ListParagraph"/>
      </w:pPr>
    </w:p>
    <w:p w14:paraId="56DED1C5" w14:textId="06A81F62" w:rsidR="002B0476" w:rsidRDefault="002B0476" w:rsidP="002B0476">
      <w:pPr>
        <w:jc w:val="left"/>
      </w:pPr>
    </w:p>
    <w:p w14:paraId="7AC89B96" w14:textId="3825BD0B" w:rsidR="002B0476" w:rsidRDefault="002B0476" w:rsidP="002B0476">
      <w:pPr>
        <w:jc w:val="left"/>
      </w:pPr>
    </w:p>
    <w:p w14:paraId="627C085A" w14:textId="4106E5BD" w:rsidR="002B0476" w:rsidRPr="002B0476" w:rsidRDefault="002B0476" w:rsidP="002B0476">
      <w:pPr>
        <w:ind w:left="1440"/>
        <w:jc w:val="left"/>
        <w:rPr>
          <w:sz w:val="22"/>
          <w:szCs w:val="22"/>
        </w:rPr>
      </w:pPr>
      <w:r w:rsidRPr="002B0476">
        <w:rPr>
          <w:sz w:val="22"/>
          <w:szCs w:val="22"/>
        </w:rPr>
        <w:lastRenderedPageBreak/>
        <w:t>Figure 3</w:t>
      </w:r>
    </w:p>
    <w:p w14:paraId="2556F788" w14:textId="3DB6AEAC" w:rsidR="00557278" w:rsidRPr="000C2EB7" w:rsidRDefault="00471A66" w:rsidP="004720D1">
      <w:pPr>
        <w:ind w:left="0" w:firstLine="0"/>
        <w:jc w:val="center"/>
        <w:rPr>
          <w:color w:val="FF0000"/>
        </w:rPr>
      </w:pPr>
      <w:r>
        <w:rPr>
          <w:noProof/>
        </w:rPr>
        <w:drawing>
          <wp:inline distT="0" distB="0" distL="0" distR="0" wp14:anchorId="1485A606" wp14:editId="663EEF39">
            <wp:extent cx="5731510" cy="583501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5835015"/>
                    </a:xfrm>
                    <a:prstGeom prst="rect">
                      <a:avLst/>
                    </a:prstGeom>
                  </pic:spPr>
                </pic:pic>
              </a:graphicData>
            </a:graphic>
          </wp:inline>
        </w:drawing>
      </w:r>
    </w:p>
    <w:p w14:paraId="6FE31439" w14:textId="6A2431B1" w:rsidR="004720D1" w:rsidRPr="00E55171" w:rsidRDefault="00A77491" w:rsidP="00610EF3">
      <w:pPr>
        <w:pStyle w:val="ListParagraph"/>
        <w:numPr>
          <w:ilvl w:val="1"/>
          <w:numId w:val="10"/>
        </w:numPr>
        <w:ind w:left="709" w:hanging="709"/>
        <w:contextualSpacing w:val="0"/>
        <w:jc w:val="left"/>
        <w:rPr>
          <w:b/>
          <w:i/>
          <w:iCs/>
          <w:color w:val="FF0000"/>
          <w:sz w:val="22"/>
          <w:szCs w:val="22"/>
        </w:rPr>
      </w:pPr>
      <w:r w:rsidRPr="00E55171">
        <w:rPr>
          <w:b/>
          <w:i/>
          <w:iCs/>
          <w:sz w:val="22"/>
          <w:szCs w:val="22"/>
        </w:rPr>
        <w:t>Population Projections</w:t>
      </w:r>
    </w:p>
    <w:p w14:paraId="6E9B1412" w14:textId="4E4DDB1A" w:rsidR="00282645" w:rsidRPr="00610EF3" w:rsidRDefault="004720D1" w:rsidP="00610EF3">
      <w:pPr>
        <w:pStyle w:val="ListParagraph"/>
        <w:numPr>
          <w:ilvl w:val="2"/>
          <w:numId w:val="19"/>
        </w:numPr>
        <w:ind w:right="421"/>
        <w:contextualSpacing w:val="0"/>
        <w:jc w:val="left"/>
        <w:rPr>
          <w:sz w:val="22"/>
          <w:szCs w:val="22"/>
        </w:rPr>
      </w:pPr>
      <w:r w:rsidRPr="008B2ABD">
        <w:rPr>
          <w:sz w:val="22"/>
          <w:szCs w:val="22"/>
        </w:rPr>
        <w:t xml:space="preserve">The </w:t>
      </w:r>
      <w:r w:rsidR="00AB15DF" w:rsidRPr="008B2ABD">
        <w:rPr>
          <w:sz w:val="22"/>
          <w:szCs w:val="22"/>
        </w:rPr>
        <w:t>population projections produced by ONS</w:t>
      </w:r>
      <w:r w:rsidR="00411766" w:rsidRPr="008B2ABD">
        <w:rPr>
          <w:sz w:val="22"/>
          <w:szCs w:val="22"/>
        </w:rPr>
        <w:t xml:space="preserve"> have reduced slightly on previous years. Now </w:t>
      </w:r>
      <w:r w:rsidR="003F5234" w:rsidRPr="008B2ABD">
        <w:rPr>
          <w:sz w:val="22"/>
          <w:szCs w:val="22"/>
        </w:rPr>
        <w:t>t</w:t>
      </w:r>
      <w:r w:rsidR="00732FF8" w:rsidRPr="008B2ABD">
        <w:rPr>
          <w:sz w:val="22"/>
          <w:szCs w:val="22"/>
        </w:rPr>
        <w:t>he ONS figures show that the</w:t>
      </w:r>
      <w:r w:rsidRPr="008B2ABD">
        <w:rPr>
          <w:sz w:val="22"/>
          <w:szCs w:val="22"/>
        </w:rPr>
        <w:t xml:space="preserve"> population of Stratford-on-Avon </w:t>
      </w:r>
      <w:r w:rsidR="001D61F1" w:rsidRPr="008B2ABD">
        <w:rPr>
          <w:sz w:val="22"/>
          <w:szCs w:val="22"/>
        </w:rPr>
        <w:t>District</w:t>
      </w:r>
      <w:r w:rsidRPr="008B2ABD">
        <w:rPr>
          <w:sz w:val="22"/>
          <w:szCs w:val="22"/>
        </w:rPr>
        <w:t xml:space="preserve"> is projected to increase by</w:t>
      </w:r>
      <w:r w:rsidR="003F5234" w:rsidRPr="008B2ABD">
        <w:rPr>
          <w:sz w:val="22"/>
          <w:szCs w:val="22"/>
        </w:rPr>
        <w:t xml:space="preserve"> 10,685 by mid-2028</w:t>
      </w:r>
      <w:r w:rsidR="00E758A6" w:rsidRPr="008B2ABD">
        <w:rPr>
          <w:sz w:val="22"/>
          <w:szCs w:val="22"/>
        </w:rPr>
        <w:t xml:space="preserve"> to a total population of </w:t>
      </w:r>
      <w:r w:rsidR="00282645" w:rsidRPr="008B2ABD">
        <w:rPr>
          <w:sz w:val="22"/>
          <w:szCs w:val="22"/>
        </w:rPr>
        <w:t>145,385. This</w:t>
      </w:r>
      <w:r w:rsidR="003F5234" w:rsidRPr="008B2ABD">
        <w:rPr>
          <w:sz w:val="22"/>
          <w:szCs w:val="22"/>
        </w:rPr>
        <w:t xml:space="preserve"> represents an increase of </w:t>
      </w:r>
      <w:r w:rsidR="00E758A6" w:rsidRPr="008B2ABD">
        <w:rPr>
          <w:sz w:val="22"/>
          <w:szCs w:val="22"/>
        </w:rPr>
        <w:t>7.93</w:t>
      </w:r>
      <w:r w:rsidR="00282645" w:rsidRPr="008B2ABD">
        <w:rPr>
          <w:sz w:val="22"/>
          <w:szCs w:val="22"/>
        </w:rPr>
        <w:t>%</w:t>
      </w:r>
      <w:r w:rsidR="008B2ABD" w:rsidRPr="008B2ABD">
        <w:rPr>
          <w:sz w:val="22"/>
          <w:szCs w:val="22"/>
        </w:rPr>
        <w:t xml:space="preserve"> on 2021</w:t>
      </w:r>
      <w:r w:rsidR="00B604B7">
        <w:rPr>
          <w:rStyle w:val="EndnoteReference"/>
          <w:sz w:val="22"/>
          <w:szCs w:val="22"/>
        </w:rPr>
        <w:endnoteReference w:id="5"/>
      </w:r>
      <w:r w:rsidR="008B2ABD" w:rsidRPr="008B2ABD">
        <w:rPr>
          <w:sz w:val="22"/>
          <w:szCs w:val="22"/>
        </w:rPr>
        <w:t>.</w:t>
      </w:r>
    </w:p>
    <w:p w14:paraId="3B1CB4F7" w14:textId="542A8176" w:rsidR="00E4031E" w:rsidRPr="00E55171" w:rsidRDefault="00E4031E" w:rsidP="00610EF3">
      <w:pPr>
        <w:pStyle w:val="ListParagraph"/>
        <w:numPr>
          <w:ilvl w:val="1"/>
          <w:numId w:val="19"/>
        </w:numPr>
        <w:ind w:right="421"/>
        <w:contextualSpacing w:val="0"/>
        <w:jc w:val="left"/>
        <w:rPr>
          <w:b/>
          <w:i/>
          <w:iCs/>
          <w:sz w:val="22"/>
          <w:szCs w:val="22"/>
        </w:rPr>
      </w:pPr>
      <w:r w:rsidRPr="00E55171">
        <w:rPr>
          <w:b/>
          <w:i/>
          <w:iCs/>
          <w:sz w:val="22"/>
          <w:szCs w:val="22"/>
        </w:rPr>
        <w:t>Population by Ward</w:t>
      </w:r>
    </w:p>
    <w:p w14:paraId="4541F74F" w14:textId="0AF28320" w:rsidR="00604E8D" w:rsidRPr="00CB645C" w:rsidRDefault="00E4031E" w:rsidP="00CB645C">
      <w:pPr>
        <w:pStyle w:val="ListParagraph"/>
        <w:numPr>
          <w:ilvl w:val="2"/>
          <w:numId w:val="29"/>
        </w:numPr>
        <w:ind w:right="421"/>
        <w:jc w:val="left"/>
        <w:rPr>
          <w:sz w:val="22"/>
          <w:szCs w:val="22"/>
        </w:rPr>
      </w:pPr>
      <w:r w:rsidRPr="00CB645C">
        <w:rPr>
          <w:sz w:val="22"/>
          <w:szCs w:val="22"/>
        </w:rPr>
        <w:t>The estimated population across each ward within the District mid-20</w:t>
      </w:r>
      <w:r w:rsidR="00F71846" w:rsidRPr="00CB645C">
        <w:rPr>
          <w:sz w:val="22"/>
          <w:szCs w:val="22"/>
        </w:rPr>
        <w:t>20</w:t>
      </w:r>
      <w:r w:rsidRPr="00CB645C">
        <w:rPr>
          <w:sz w:val="22"/>
          <w:szCs w:val="22"/>
        </w:rPr>
        <w:t xml:space="preserve"> ranges from 2,465 in Clopton Ward to 5,156 in Bridgetown Ward, with the average population per ward at 3,678</w:t>
      </w:r>
      <w:r w:rsidRPr="00F24499">
        <w:rPr>
          <w:rStyle w:val="EndnoteReference"/>
          <w:sz w:val="22"/>
          <w:szCs w:val="22"/>
        </w:rPr>
        <w:endnoteReference w:id="6"/>
      </w:r>
      <w:r w:rsidRPr="00CB645C">
        <w:rPr>
          <w:sz w:val="22"/>
          <w:szCs w:val="22"/>
        </w:rPr>
        <w:t xml:space="preserve">. </w:t>
      </w:r>
    </w:p>
    <w:p w14:paraId="3EBA44E9" w14:textId="5C4998E5" w:rsidR="00CB645C" w:rsidRDefault="00CB645C" w:rsidP="00CB645C">
      <w:pPr>
        <w:pStyle w:val="ListParagraph"/>
        <w:ind w:right="421" w:firstLine="0"/>
        <w:jc w:val="left"/>
        <w:rPr>
          <w:sz w:val="22"/>
          <w:szCs w:val="22"/>
        </w:rPr>
      </w:pPr>
    </w:p>
    <w:p w14:paraId="0E7B6535" w14:textId="77777777" w:rsidR="00CB645C" w:rsidRPr="00CB645C" w:rsidRDefault="00CB645C" w:rsidP="00CB645C">
      <w:pPr>
        <w:pStyle w:val="ListParagraph"/>
        <w:ind w:right="421" w:firstLine="0"/>
        <w:jc w:val="left"/>
        <w:rPr>
          <w:sz w:val="22"/>
          <w:szCs w:val="22"/>
        </w:rPr>
      </w:pPr>
    </w:p>
    <w:p w14:paraId="190A37B0" w14:textId="58507B9F" w:rsidR="002B0476" w:rsidRPr="002B0476" w:rsidRDefault="00E4031E" w:rsidP="00610EF3">
      <w:pPr>
        <w:pStyle w:val="ListParagraph"/>
        <w:numPr>
          <w:ilvl w:val="2"/>
          <w:numId w:val="29"/>
        </w:numPr>
        <w:ind w:right="421"/>
        <w:contextualSpacing w:val="0"/>
        <w:jc w:val="left"/>
        <w:rPr>
          <w:sz w:val="22"/>
          <w:szCs w:val="22"/>
        </w:rPr>
      </w:pPr>
      <w:r w:rsidRPr="00022B87">
        <w:rPr>
          <w:sz w:val="22"/>
          <w:szCs w:val="22"/>
        </w:rPr>
        <w:lastRenderedPageBreak/>
        <w:t xml:space="preserve">Figure </w:t>
      </w:r>
      <w:r w:rsidR="00BC4086" w:rsidRPr="00022B87">
        <w:rPr>
          <w:sz w:val="22"/>
          <w:szCs w:val="22"/>
        </w:rPr>
        <w:t>4</w:t>
      </w:r>
      <w:r w:rsidRPr="00022B87">
        <w:rPr>
          <w:sz w:val="22"/>
          <w:szCs w:val="22"/>
        </w:rPr>
        <w:t xml:space="preserve"> shows the estimated changes to ward populations over the past </w:t>
      </w:r>
      <w:r w:rsidR="00604E8D" w:rsidRPr="00022B87">
        <w:rPr>
          <w:sz w:val="22"/>
          <w:szCs w:val="22"/>
        </w:rPr>
        <w:t>six</w:t>
      </w:r>
      <w:r w:rsidRPr="00022B87">
        <w:rPr>
          <w:sz w:val="22"/>
          <w:szCs w:val="22"/>
        </w:rPr>
        <w:t xml:space="preserve"> years</w:t>
      </w:r>
      <w:r w:rsidR="00604E8D" w:rsidRPr="00022B87">
        <w:rPr>
          <w:sz w:val="22"/>
          <w:szCs w:val="22"/>
        </w:rPr>
        <w:t>, between 2014 and 2020</w:t>
      </w:r>
      <w:r w:rsidRPr="00022B87">
        <w:rPr>
          <w:sz w:val="22"/>
          <w:szCs w:val="22"/>
        </w:rPr>
        <w:t>.</w:t>
      </w:r>
      <w:r w:rsidR="00604E8D" w:rsidRPr="00022B87">
        <w:rPr>
          <w:sz w:val="22"/>
          <w:szCs w:val="22"/>
        </w:rPr>
        <w:t xml:space="preserve"> Welford-on-Avon has seen the greatest estimated population growth over this period of 1,260. Four wards have seen an estimated contraction of population, with Wellesbourne East seeing the greatest contraction of 103 people.</w:t>
      </w:r>
    </w:p>
    <w:p w14:paraId="3C9963FF" w14:textId="59C0E2BF" w:rsidR="002B0476" w:rsidRPr="002B0476" w:rsidRDefault="002B0476" w:rsidP="00610EF3">
      <w:pPr>
        <w:ind w:left="1440"/>
        <w:jc w:val="left"/>
        <w:rPr>
          <w:sz w:val="22"/>
          <w:szCs w:val="22"/>
        </w:rPr>
      </w:pPr>
      <w:r>
        <w:rPr>
          <w:sz w:val="22"/>
          <w:szCs w:val="22"/>
        </w:rPr>
        <w:t>Figure 4</w:t>
      </w:r>
    </w:p>
    <w:p w14:paraId="24192305" w14:textId="7632881F" w:rsidR="00E4031E" w:rsidRDefault="00E4031E" w:rsidP="00E51A45">
      <w:pPr>
        <w:jc w:val="center"/>
        <w:rPr>
          <w:color w:val="FF0000"/>
        </w:rPr>
      </w:pPr>
      <w:r w:rsidRPr="000C2EB7">
        <w:rPr>
          <w:noProof/>
          <w:color w:val="FF0000"/>
          <w:lang w:eastAsia="en-GB"/>
        </w:rPr>
        <w:drawing>
          <wp:inline distT="0" distB="0" distL="0" distR="0" wp14:anchorId="0B9D0620" wp14:editId="7F7AA574">
            <wp:extent cx="5810250" cy="35369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A73150" w14:textId="77777777" w:rsidR="00F24499" w:rsidRPr="000C2EB7" w:rsidRDefault="00F24499" w:rsidP="002E64F4">
      <w:pPr>
        <w:pStyle w:val="NoSpacing"/>
      </w:pPr>
    </w:p>
    <w:p w14:paraId="367B3531" w14:textId="2CA831F1" w:rsidR="00A453AD" w:rsidRPr="00610EF3" w:rsidRDefault="00604E8D" w:rsidP="00610EF3">
      <w:pPr>
        <w:pStyle w:val="ListParagraph"/>
        <w:numPr>
          <w:ilvl w:val="2"/>
          <w:numId w:val="29"/>
        </w:numPr>
        <w:ind w:right="420"/>
        <w:contextualSpacing w:val="0"/>
        <w:jc w:val="left"/>
        <w:rPr>
          <w:sz w:val="22"/>
          <w:szCs w:val="22"/>
        </w:rPr>
      </w:pPr>
      <w:r w:rsidRPr="00F24499">
        <w:rPr>
          <w:sz w:val="22"/>
          <w:szCs w:val="22"/>
        </w:rPr>
        <w:t>Avenue ward had the greatest proportion of working age population as a percentage of total population, with 68% of the population being of working age (16-64 years). Wootton Wawen had the lowest proportion of working age population, at 51% being of working age, and 36% aged 65 years or older.</w:t>
      </w:r>
    </w:p>
    <w:p w14:paraId="58607673" w14:textId="7026E8FC" w:rsidR="00A453AD" w:rsidRPr="00610EF3" w:rsidRDefault="00A453AD" w:rsidP="00610EF3">
      <w:pPr>
        <w:pStyle w:val="ListParagraph"/>
        <w:numPr>
          <w:ilvl w:val="2"/>
          <w:numId w:val="29"/>
        </w:numPr>
        <w:ind w:right="420"/>
        <w:contextualSpacing w:val="0"/>
        <w:jc w:val="left"/>
        <w:rPr>
          <w:sz w:val="22"/>
          <w:szCs w:val="22"/>
        </w:rPr>
      </w:pPr>
      <w:r w:rsidRPr="00F24499">
        <w:rPr>
          <w:sz w:val="22"/>
          <w:szCs w:val="22"/>
        </w:rPr>
        <w:t xml:space="preserve">Guildhall had the largest proportion of ‘very old’ population as a percentage of the total ward population, with 15% aged 80 years or older. Tiddington and Shipston South both had 11% </w:t>
      </w:r>
      <w:r w:rsidR="00BF0270">
        <w:rPr>
          <w:sz w:val="22"/>
          <w:szCs w:val="22"/>
        </w:rPr>
        <w:t xml:space="preserve">of </w:t>
      </w:r>
      <w:r w:rsidRPr="00F24499">
        <w:rPr>
          <w:sz w:val="22"/>
          <w:szCs w:val="22"/>
        </w:rPr>
        <w:t>their population aged 80 years or older.</w:t>
      </w:r>
    </w:p>
    <w:p w14:paraId="3ADA1666" w14:textId="5F264C59" w:rsidR="0007093B" w:rsidRPr="00F24499" w:rsidRDefault="00A453AD" w:rsidP="00610EF3">
      <w:pPr>
        <w:pStyle w:val="ListParagraph"/>
        <w:numPr>
          <w:ilvl w:val="2"/>
          <w:numId w:val="29"/>
        </w:numPr>
        <w:ind w:right="420"/>
        <w:contextualSpacing w:val="0"/>
        <w:jc w:val="left"/>
        <w:rPr>
          <w:sz w:val="22"/>
          <w:szCs w:val="22"/>
        </w:rPr>
      </w:pPr>
      <w:r w:rsidRPr="00F24499">
        <w:rPr>
          <w:sz w:val="22"/>
          <w:szCs w:val="22"/>
        </w:rPr>
        <w:t>Avenue and Quinton wards had the highest proportion of young people, with 21% of the populations aged under 16 years. Welcombe</w:t>
      </w:r>
      <w:r w:rsidR="00660F1E" w:rsidRPr="00F24499">
        <w:rPr>
          <w:sz w:val="22"/>
          <w:szCs w:val="22"/>
        </w:rPr>
        <w:t xml:space="preserve"> </w:t>
      </w:r>
      <w:r w:rsidRPr="00F24499">
        <w:rPr>
          <w:sz w:val="22"/>
          <w:szCs w:val="22"/>
        </w:rPr>
        <w:t>and Guildhall had the lowest proportion of young people in their populations, both at 10%.</w:t>
      </w:r>
    </w:p>
    <w:p w14:paraId="29A16183" w14:textId="002CFE03" w:rsidR="0007093B" w:rsidRDefault="0007093B" w:rsidP="00B5510E">
      <w:pPr>
        <w:pStyle w:val="ListParagraph"/>
        <w:rPr>
          <w:color w:val="FF0000"/>
        </w:rPr>
      </w:pPr>
    </w:p>
    <w:p w14:paraId="5033054E" w14:textId="77777777" w:rsidR="002E64F4" w:rsidRDefault="002E64F4" w:rsidP="00B5510E">
      <w:pPr>
        <w:pStyle w:val="ListParagraph"/>
        <w:rPr>
          <w:color w:val="FF0000"/>
        </w:rPr>
      </w:pPr>
    </w:p>
    <w:p w14:paraId="73E38E68" w14:textId="77777777" w:rsidR="002E64F4" w:rsidRDefault="002E64F4" w:rsidP="00B5510E">
      <w:pPr>
        <w:pStyle w:val="ListParagraph"/>
        <w:rPr>
          <w:color w:val="FF0000"/>
        </w:rPr>
      </w:pPr>
    </w:p>
    <w:p w14:paraId="06CDB2CF" w14:textId="77777777" w:rsidR="002E64F4" w:rsidRDefault="002E64F4" w:rsidP="00B5510E">
      <w:pPr>
        <w:pStyle w:val="ListParagraph"/>
        <w:rPr>
          <w:color w:val="FF0000"/>
        </w:rPr>
      </w:pPr>
    </w:p>
    <w:p w14:paraId="20E2E380" w14:textId="77777777" w:rsidR="002E64F4" w:rsidRDefault="002E64F4" w:rsidP="00B5510E">
      <w:pPr>
        <w:pStyle w:val="ListParagraph"/>
        <w:rPr>
          <w:color w:val="FF0000"/>
        </w:rPr>
      </w:pPr>
    </w:p>
    <w:p w14:paraId="67350373" w14:textId="77777777" w:rsidR="002E64F4" w:rsidRDefault="002E64F4" w:rsidP="00B5510E">
      <w:pPr>
        <w:pStyle w:val="ListParagraph"/>
        <w:rPr>
          <w:color w:val="FF0000"/>
        </w:rPr>
      </w:pPr>
    </w:p>
    <w:p w14:paraId="56AA2830" w14:textId="77777777" w:rsidR="002E64F4" w:rsidRDefault="002E64F4" w:rsidP="00B5510E">
      <w:pPr>
        <w:pStyle w:val="ListParagraph"/>
        <w:rPr>
          <w:color w:val="FF0000"/>
        </w:rPr>
      </w:pPr>
    </w:p>
    <w:p w14:paraId="6FE3484A" w14:textId="77777777" w:rsidR="002E64F4" w:rsidRDefault="002E64F4" w:rsidP="00B5510E">
      <w:pPr>
        <w:pStyle w:val="ListParagraph"/>
        <w:rPr>
          <w:color w:val="FF0000"/>
        </w:rPr>
      </w:pPr>
    </w:p>
    <w:p w14:paraId="2A1BE0F0" w14:textId="553D4701" w:rsidR="001C722E" w:rsidRPr="00610EF3" w:rsidRDefault="001C722E" w:rsidP="00E55171">
      <w:pPr>
        <w:pStyle w:val="ListParagraph"/>
        <w:numPr>
          <w:ilvl w:val="0"/>
          <w:numId w:val="29"/>
        </w:numPr>
        <w:ind w:left="709" w:hanging="709"/>
        <w:contextualSpacing w:val="0"/>
        <w:rPr>
          <w:b/>
          <w:sz w:val="22"/>
          <w:szCs w:val="22"/>
        </w:rPr>
      </w:pPr>
      <w:r w:rsidRPr="00226043">
        <w:rPr>
          <w:b/>
          <w:sz w:val="22"/>
          <w:szCs w:val="22"/>
        </w:rPr>
        <w:lastRenderedPageBreak/>
        <w:t>Housing</w:t>
      </w:r>
    </w:p>
    <w:p w14:paraId="0A9127BD" w14:textId="4ED61348" w:rsidR="00AB5329" w:rsidRPr="00E55171" w:rsidRDefault="005E486F" w:rsidP="00E55171">
      <w:pPr>
        <w:pStyle w:val="ListParagraph"/>
        <w:numPr>
          <w:ilvl w:val="1"/>
          <w:numId w:val="20"/>
        </w:numPr>
        <w:contextualSpacing w:val="0"/>
        <w:rPr>
          <w:b/>
          <w:i/>
          <w:iCs/>
          <w:sz w:val="22"/>
          <w:szCs w:val="22"/>
        </w:rPr>
      </w:pPr>
      <w:r w:rsidRPr="00E55171">
        <w:rPr>
          <w:b/>
          <w:i/>
          <w:iCs/>
          <w:sz w:val="22"/>
          <w:szCs w:val="22"/>
        </w:rPr>
        <w:t>Key facts</w:t>
      </w:r>
    </w:p>
    <w:tbl>
      <w:tblPr>
        <w:tblStyle w:val="TableGrid"/>
        <w:tblW w:w="0" w:type="auto"/>
        <w:tblInd w:w="704" w:type="dxa"/>
        <w:tblLook w:val="04A0" w:firstRow="1" w:lastRow="0" w:firstColumn="1" w:lastColumn="0" w:noHBand="0" w:noVBand="1"/>
      </w:tblPr>
      <w:tblGrid>
        <w:gridCol w:w="4253"/>
        <w:gridCol w:w="2409"/>
      </w:tblGrid>
      <w:tr w:rsidR="00226043" w:rsidRPr="00226043" w14:paraId="2023EBEE" w14:textId="77777777" w:rsidTr="002F059A">
        <w:tc>
          <w:tcPr>
            <w:tcW w:w="6662" w:type="dxa"/>
            <w:gridSpan w:val="2"/>
            <w:shd w:val="clear" w:color="auto" w:fill="D9D9D9" w:themeFill="background1" w:themeFillShade="D9"/>
          </w:tcPr>
          <w:p w14:paraId="7DAE3B3F" w14:textId="77777777" w:rsidR="005E486F" w:rsidRPr="00226043" w:rsidRDefault="005E486F" w:rsidP="0009691A">
            <w:pPr>
              <w:ind w:left="0" w:firstLine="0"/>
              <w:rPr>
                <w:b/>
                <w:sz w:val="22"/>
                <w:szCs w:val="22"/>
              </w:rPr>
            </w:pPr>
            <w:r w:rsidRPr="00226043">
              <w:rPr>
                <w:b/>
                <w:sz w:val="22"/>
                <w:szCs w:val="22"/>
              </w:rPr>
              <w:t>Housing Facts</w:t>
            </w:r>
          </w:p>
        </w:tc>
      </w:tr>
      <w:tr w:rsidR="00226043" w:rsidRPr="00226043" w14:paraId="3C477DFA" w14:textId="77777777" w:rsidTr="002F059A">
        <w:tc>
          <w:tcPr>
            <w:tcW w:w="4253" w:type="dxa"/>
          </w:tcPr>
          <w:p w14:paraId="1D1ECFAC" w14:textId="77777777" w:rsidR="005E486F" w:rsidRPr="00226043" w:rsidRDefault="005E486F" w:rsidP="0009691A">
            <w:pPr>
              <w:ind w:left="0" w:firstLine="0"/>
              <w:rPr>
                <w:sz w:val="22"/>
                <w:szCs w:val="22"/>
              </w:rPr>
            </w:pPr>
            <w:r w:rsidRPr="00226043">
              <w:rPr>
                <w:sz w:val="22"/>
                <w:szCs w:val="22"/>
              </w:rPr>
              <w:t>Number of households</w:t>
            </w:r>
          </w:p>
        </w:tc>
        <w:tc>
          <w:tcPr>
            <w:tcW w:w="2409" w:type="dxa"/>
          </w:tcPr>
          <w:p w14:paraId="4211B487" w14:textId="4B702B35" w:rsidR="005E486F" w:rsidRPr="00226043" w:rsidRDefault="00687967" w:rsidP="00F85679">
            <w:pPr>
              <w:ind w:left="0" w:firstLine="0"/>
              <w:jc w:val="center"/>
              <w:rPr>
                <w:sz w:val="22"/>
                <w:szCs w:val="22"/>
              </w:rPr>
            </w:pPr>
            <w:r>
              <w:rPr>
                <w:sz w:val="22"/>
                <w:szCs w:val="22"/>
              </w:rPr>
              <w:t>62,2</w:t>
            </w:r>
            <w:r w:rsidR="00E958FF" w:rsidRPr="00226043">
              <w:rPr>
                <w:sz w:val="22"/>
                <w:szCs w:val="22"/>
              </w:rPr>
              <w:t>00</w:t>
            </w:r>
          </w:p>
        </w:tc>
      </w:tr>
      <w:tr w:rsidR="00226043" w:rsidRPr="00226043" w14:paraId="748E75CD" w14:textId="77777777" w:rsidTr="002F059A">
        <w:tc>
          <w:tcPr>
            <w:tcW w:w="4253" w:type="dxa"/>
          </w:tcPr>
          <w:p w14:paraId="1DB8BEFB" w14:textId="77777777" w:rsidR="005E486F" w:rsidRPr="00226043" w:rsidRDefault="005E486F" w:rsidP="0009691A">
            <w:pPr>
              <w:ind w:left="0" w:firstLine="0"/>
              <w:rPr>
                <w:sz w:val="22"/>
                <w:szCs w:val="22"/>
              </w:rPr>
            </w:pPr>
            <w:r w:rsidRPr="00226043">
              <w:rPr>
                <w:sz w:val="22"/>
                <w:szCs w:val="22"/>
              </w:rPr>
              <w:t>Median house price</w:t>
            </w:r>
          </w:p>
        </w:tc>
        <w:tc>
          <w:tcPr>
            <w:tcW w:w="2409" w:type="dxa"/>
          </w:tcPr>
          <w:p w14:paraId="538370E2" w14:textId="580F91A2" w:rsidR="005E486F" w:rsidRPr="00226043" w:rsidRDefault="00D44FFA" w:rsidP="00F85679">
            <w:pPr>
              <w:ind w:left="0" w:firstLine="0"/>
              <w:jc w:val="center"/>
              <w:rPr>
                <w:sz w:val="22"/>
                <w:szCs w:val="22"/>
              </w:rPr>
            </w:pPr>
            <w:r w:rsidRPr="00226043">
              <w:rPr>
                <w:sz w:val="22"/>
                <w:szCs w:val="22"/>
              </w:rPr>
              <w:t>£3</w:t>
            </w:r>
            <w:r w:rsidR="0012740B" w:rsidRPr="00226043">
              <w:rPr>
                <w:sz w:val="22"/>
                <w:szCs w:val="22"/>
              </w:rPr>
              <w:t>40</w:t>
            </w:r>
            <w:r w:rsidR="005E486F" w:rsidRPr="00226043">
              <w:rPr>
                <w:sz w:val="22"/>
                <w:szCs w:val="22"/>
              </w:rPr>
              <w:t>,</w:t>
            </w:r>
            <w:r w:rsidR="00C57B5C" w:rsidRPr="00226043">
              <w:rPr>
                <w:sz w:val="22"/>
                <w:szCs w:val="22"/>
              </w:rPr>
              <w:t>0</w:t>
            </w:r>
            <w:r w:rsidR="005E486F" w:rsidRPr="00226043">
              <w:rPr>
                <w:sz w:val="22"/>
                <w:szCs w:val="22"/>
              </w:rPr>
              <w:t>00</w:t>
            </w:r>
          </w:p>
        </w:tc>
      </w:tr>
      <w:tr w:rsidR="00226043" w:rsidRPr="00226043" w14:paraId="37F560B1" w14:textId="77777777" w:rsidTr="002F059A">
        <w:tc>
          <w:tcPr>
            <w:tcW w:w="4253" w:type="dxa"/>
          </w:tcPr>
          <w:p w14:paraId="184A224D" w14:textId="77777777" w:rsidR="005E486F" w:rsidRPr="00226043" w:rsidRDefault="002D33B9" w:rsidP="0009691A">
            <w:pPr>
              <w:ind w:left="0" w:firstLine="0"/>
              <w:rPr>
                <w:sz w:val="22"/>
                <w:szCs w:val="22"/>
              </w:rPr>
            </w:pPr>
            <w:r w:rsidRPr="00226043">
              <w:rPr>
                <w:sz w:val="22"/>
                <w:szCs w:val="22"/>
              </w:rPr>
              <w:t>Owner occupied</w:t>
            </w:r>
          </w:p>
        </w:tc>
        <w:tc>
          <w:tcPr>
            <w:tcW w:w="2409" w:type="dxa"/>
          </w:tcPr>
          <w:p w14:paraId="6F129BF1" w14:textId="77777777" w:rsidR="005E486F" w:rsidRPr="00226043" w:rsidRDefault="002D33B9" w:rsidP="00F85679">
            <w:pPr>
              <w:ind w:left="0" w:firstLine="0"/>
              <w:jc w:val="center"/>
              <w:rPr>
                <w:sz w:val="22"/>
                <w:szCs w:val="22"/>
              </w:rPr>
            </w:pPr>
            <w:r w:rsidRPr="00226043">
              <w:rPr>
                <w:sz w:val="22"/>
                <w:szCs w:val="22"/>
              </w:rPr>
              <w:t>72.9%</w:t>
            </w:r>
          </w:p>
        </w:tc>
      </w:tr>
      <w:tr w:rsidR="00226043" w:rsidRPr="00226043" w14:paraId="23908682" w14:textId="77777777" w:rsidTr="002F059A">
        <w:tc>
          <w:tcPr>
            <w:tcW w:w="4253" w:type="dxa"/>
          </w:tcPr>
          <w:p w14:paraId="5B8B2EC1" w14:textId="77777777" w:rsidR="005E486F" w:rsidRPr="00226043" w:rsidRDefault="002D33B9" w:rsidP="0009691A">
            <w:pPr>
              <w:ind w:left="0" w:firstLine="0"/>
              <w:rPr>
                <w:sz w:val="22"/>
                <w:szCs w:val="22"/>
              </w:rPr>
            </w:pPr>
            <w:r w:rsidRPr="00226043">
              <w:rPr>
                <w:sz w:val="22"/>
                <w:szCs w:val="22"/>
              </w:rPr>
              <w:t>Average household size</w:t>
            </w:r>
          </w:p>
        </w:tc>
        <w:tc>
          <w:tcPr>
            <w:tcW w:w="2409" w:type="dxa"/>
          </w:tcPr>
          <w:p w14:paraId="058D94C2" w14:textId="77777777" w:rsidR="005E486F" w:rsidRPr="00226043" w:rsidRDefault="002D33B9" w:rsidP="00F85679">
            <w:pPr>
              <w:ind w:left="0" w:firstLine="0"/>
              <w:jc w:val="center"/>
              <w:rPr>
                <w:sz w:val="22"/>
                <w:szCs w:val="22"/>
              </w:rPr>
            </w:pPr>
            <w:r w:rsidRPr="00226043">
              <w:rPr>
                <w:sz w:val="22"/>
                <w:szCs w:val="22"/>
              </w:rPr>
              <w:t>2.3</w:t>
            </w:r>
          </w:p>
        </w:tc>
      </w:tr>
      <w:tr w:rsidR="00226043" w:rsidRPr="00226043" w14:paraId="165C988F" w14:textId="77777777" w:rsidTr="002F059A">
        <w:tc>
          <w:tcPr>
            <w:tcW w:w="4253" w:type="dxa"/>
          </w:tcPr>
          <w:p w14:paraId="387247CC" w14:textId="7B43CC3D" w:rsidR="0009691A" w:rsidRPr="00226043" w:rsidRDefault="0009691A" w:rsidP="00C26F5F">
            <w:pPr>
              <w:ind w:left="0" w:firstLine="0"/>
              <w:jc w:val="left"/>
              <w:rPr>
                <w:sz w:val="22"/>
                <w:szCs w:val="22"/>
              </w:rPr>
            </w:pPr>
            <w:r w:rsidRPr="00226043">
              <w:rPr>
                <w:sz w:val="22"/>
                <w:szCs w:val="22"/>
              </w:rPr>
              <w:t>Number of</w:t>
            </w:r>
            <w:r w:rsidR="0069210F">
              <w:rPr>
                <w:sz w:val="22"/>
                <w:szCs w:val="22"/>
              </w:rPr>
              <w:t xml:space="preserve"> </w:t>
            </w:r>
            <w:r w:rsidRPr="00226043">
              <w:rPr>
                <w:sz w:val="22"/>
                <w:szCs w:val="22"/>
              </w:rPr>
              <w:t>new dwelling</w:t>
            </w:r>
            <w:r w:rsidR="005210E3" w:rsidRPr="00226043">
              <w:rPr>
                <w:sz w:val="22"/>
                <w:szCs w:val="22"/>
              </w:rPr>
              <w:t xml:space="preserve">s </w:t>
            </w:r>
          </w:p>
        </w:tc>
        <w:tc>
          <w:tcPr>
            <w:tcW w:w="2409" w:type="dxa"/>
          </w:tcPr>
          <w:p w14:paraId="13394018" w14:textId="05E8673E" w:rsidR="0009691A" w:rsidRPr="00226043" w:rsidRDefault="005210E3" w:rsidP="00F85679">
            <w:pPr>
              <w:ind w:left="0" w:firstLine="0"/>
              <w:jc w:val="center"/>
              <w:rPr>
                <w:sz w:val="22"/>
                <w:szCs w:val="22"/>
              </w:rPr>
            </w:pPr>
            <w:r w:rsidRPr="00226043">
              <w:rPr>
                <w:sz w:val="22"/>
                <w:szCs w:val="22"/>
              </w:rPr>
              <w:t>1,342</w:t>
            </w:r>
          </w:p>
        </w:tc>
      </w:tr>
    </w:tbl>
    <w:p w14:paraId="7955767E" w14:textId="77777777" w:rsidR="00204E62" w:rsidRPr="000C2EB7" w:rsidRDefault="00204E62" w:rsidP="00306F2D">
      <w:pPr>
        <w:pStyle w:val="NoSpacing"/>
        <w:rPr>
          <w:color w:val="FF0000"/>
          <w:sz w:val="22"/>
          <w:szCs w:val="22"/>
        </w:rPr>
      </w:pPr>
    </w:p>
    <w:p w14:paraId="5EAFCA17" w14:textId="77777777" w:rsidR="0030146E" w:rsidRPr="00E55171" w:rsidRDefault="002D3A18" w:rsidP="00610EF3">
      <w:pPr>
        <w:rPr>
          <w:b/>
          <w:i/>
          <w:iCs/>
          <w:vanish/>
          <w:color w:val="FF0000"/>
          <w:sz w:val="22"/>
          <w:szCs w:val="22"/>
        </w:rPr>
      </w:pPr>
      <w:r w:rsidRPr="00E55171">
        <w:rPr>
          <w:b/>
          <w:i/>
          <w:iCs/>
          <w:vanish/>
          <w:color w:val="FF0000"/>
          <w:sz w:val="22"/>
          <w:szCs w:val="22"/>
        </w:rPr>
        <w:t xml:space="preserve"> </w:t>
      </w:r>
    </w:p>
    <w:p w14:paraId="333B7125" w14:textId="7BA3D94E" w:rsidR="00B6121B" w:rsidRPr="00E55171" w:rsidRDefault="00806281" w:rsidP="00610EF3">
      <w:pPr>
        <w:pStyle w:val="ListParagraph"/>
        <w:numPr>
          <w:ilvl w:val="1"/>
          <w:numId w:val="20"/>
        </w:numPr>
        <w:contextualSpacing w:val="0"/>
        <w:rPr>
          <w:b/>
          <w:i/>
          <w:iCs/>
          <w:sz w:val="22"/>
          <w:szCs w:val="22"/>
        </w:rPr>
      </w:pPr>
      <w:r w:rsidRPr="00E55171">
        <w:rPr>
          <w:b/>
          <w:i/>
          <w:iCs/>
          <w:sz w:val="22"/>
          <w:szCs w:val="22"/>
        </w:rPr>
        <w:t>Dwelling Numbers</w:t>
      </w:r>
    </w:p>
    <w:p w14:paraId="53432CAF" w14:textId="44D07BEC" w:rsidR="00837EFD" w:rsidRPr="00610EF3" w:rsidRDefault="002D33B9" w:rsidP="00610EF3">
      <w:pPr>
        <w:pStyle w:val="ListParagraph"/>
        <w:numPr>
          <w:ilvl w:val="3"/>
          <w:numId w:val="20"/>
        </w:numPr>
        <w:ind w:left="709" w:right="421" w:hanging="709"/>
        <w:contextualSpacing w:val="0"/>
        <w:jc w:val="left"/>
        <w:rPr>
          <w:sz w:val="22"/>
          <w:szCs w:val="22"/>
        </w:rPr>
      </w:pPr>
      <w:r w:rsidRPr="00837EFD">
        <w:rPr>
          <w:sz w:val="22"/>
          <w:szCs w:val="22"/>
        </w:rPr>
        <w:t>According to the Valuatio</w:t>
      </w:r>
      <w:r w:rsidR="008D222B" w:rsidRPr="00837EFD">
        <w:rPr>
          <w:sz w:val="22"/>
          <w:szCs w:val="22"/>
        </w:rPr>
        <w:t>n Office list, there were 62,</w:t>
      </w:r>
      <w:r w:rsidR="00333A9C" w:rsidRPr="00837EFD">
        <w:rPr>
          <w:sz w:val="22"/>
          <w:szCs w:val="22"/>
        </w:rPr>
        <w:t>220</w:t>
      </w:r>
      <w:r w:rsidRPr="00837EFD">
        <w:rPr>
          <w:sz w:val="22"/>
          <w:szCs w:val="22"/>
        </w:rPr>
        <w:t xml:space="preserve"> properties in the </w:t>
      </w:r>
      <w:r w:rsidR="001D61F1" w:rsidRPr="00837EFD">
        <w:rPr>
          <w:sz w:val="22"/>
          <w:szCs w:val="22"/>
        </w:rPr>
        <w:t>District</w:t>
      </w:r>
      <w:r w:rsidR="008D222B" w:rsidRPr="00837EFD">
        <w:rPr>
          <w:sz w:val="22"/>
          <w:szCs w:val="22"/>
        </w:rPr>
        <w:t xml:space="preserve"> </w:t>
      </w:r>
      <w:r w:rsidR="00333A9C" w:rsidRPr="00837EFD">
        <w:rPr>
          <w:sz w:val="22"/>
          <w:szCs w:val="22"/>
        </w:rPr>
        <w:t>mid-2021</w:t>
      </w:r>
      <w:r w:rsidR="00333A9C" w:rsidRPr="002E60B9">
        <w:rPr>
          <w:rStyle w:val="EndnoteReference"/>
          <w:sz w:val="22"/>
          <w:szCs w:val="22"/>
        </w:rPr>
        <w:endnoteReference w:id="7"/>
      </w:r>
      <w:r w:rsidR="00EA7940">
        <w:rPr>
          <w:sz w:val="22"/>
          <w:szCs w:val="22"/>
        </w:rPr>
        <w:t xml:space="preserve">. </w:t>
      </w:r>
      <w:r w:rsidR="00192C0E" w:rsidRPr="00837EFD">
        <w:rPr>
          <w:sz w:val="22"/>
          <w:szCs w:val="22"/>
        </w:rPr>
        <w:t xml:space="preserve">Of these, the most common dwelling type is a detached house. </w:t>
      </w:r>
    </w:p>
    <w:p w14:paraId="7856C86D" w14:textId="599B7ABB" w:rsidR="002B0476" w:rsidRPr="00610EF3" w:rsidRDefault="00192C0E" w:rsidP="00610EF3">
      <w:pPr>
        <w:pStyle w:val="ListParagraph"/>
        <w:numPr>
          <w:ilvl w:val="3"/>
          <w:numId w:val="20"/>
        </w:numPr>
        <w:ind w:left="709" w:right="421" w:hanging="709"/>
        <w:contextualSpacing w:val="0"/>
        <w:jc w:val="left"/>
        <w:rPr>
          <w:sz w:val="22"/>
          <w:szCs w:val="22"/>
        </w:rPr>
      </w:pPr>
      <w:r w:rsidRPr="00837EFD">
        <w:rPr>
          <w:sz w:val="22"/>
          <w:szCs w:val="22"/>
        </w:rPr>
        <w:t>The housing stock available does not follow the same pattern as Warwickshire</w:t>
      </w:r>
      <w:r w:rsidR="005441D9" w:rsidRPr="00837EFD">
        <w:rPr>
          <w:sz w:val="22"/>
          <w:szCs w:val="22"/>
        </w:rPr>
        <w:t xml:space="preserve"> or England, as seen in Figure </w:t>
      </w:r>
      <w:r w:rsidR="003A7A7D" w:rsidRPr="00837EFD">
        <w:rPr>
          <w:sz w:val="22"/>
          <w:szCs w:val="22"/>
        </w:rPr>
        <w:t>5</w:t>
      </w:r>
      <w:r w:rsidR="00EA7940">
        <w:rPr>
          <w:sz w:val="22"/>
          <w:szCs w:val="22"/>
        </w:rPr>
        <w:t>.</w:t>
      </w:r>
      <w:r w:rsidRPr="00837EFD">
        <w:rPr>
          <w:sz w:val="22"/>
          <w:szCs w:val="22"/>
        </w:rPr>
        <w:t xml:space="preserve"> Stratford-on-Avon has more bungalows and detached houses than the Warwickshire or England average, and fewer flats/maisonettes, terraces and semi-detached dwellings.</w:t>
      </w:r>
    </w:p>
    <w:p w14:paraId="0BA948B4" w14:textId="12B463A1" w:rsidR="002B0476" w:rsidRPr="00837EFD" w:rsidRDefault="002B0476" w:rsidP="00610EF3">
      <w:pPr>
        <w:pStyle w:val="ListParagraph"/>
        <w:ind w:left="709" w:firstLine="0"/>
        <w:contextualSpacing w:val="0"/>
        <w:jc w:val="left"/>
        <w:rPr>
          <w:sz w:val="22"/>
          <w:szCs w:val="22"/>
        </w:rPr>
      </w:pPr>
      <w:r>
        <w:rPr>
          <w:sz w:val="22"/>
          <w:szCs w:val="22"/>
        </w:rPr>
        <w:t>Figure 5</w:t>
      </w:r>
    </w:p>
    <w:p w14:paraId="4AC9A31F" w14:textId="77777777" w:rsidR="00CB0256" w:rsidRDefault="00CB0256" w:rsidP="00CB0256">
      <w:pPr>
        <w:pStyle w:val="NoSpacing"/>
      </w:pPr>
    </w:p>
    <w:p w14:paraId="5C6FC6C1" w14:textId="519358CE" w:rsidR="00171DFE" w:rsidRDefault="00171DFE" w:rsidP="00100884">
      <w:pPr>
        <w:jc w:val="center"/>
        <w:rPr>
          <w:color w:val="FF0000"/>
        </w:rPr>
      </w:pPr>
      <w:r w:rsidRPr="000C2EB7">
        <w:rPr>
          <w:noProof/>
          <w:color w:val="FF0000"/>
          <w:lang w:eastAsia="en-GB"/>
        </w:rPr>
        <w:drawing>
          <wp:inline distT="0" distB="0" distL="0" distR="0" wp14:anchorId="688BC697" wp14:editId="362E9AE8">
            <wp:extent cx="5690382" cy="3390314"/>
            <wp:effectExtent l="0" t="0" r="5715" b="63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CD03F9" w14:textId="77777777" w:rsidR="003A7A7D" w:rsidRDefault="003A7A7D" w:rsidP="00100884">
      <w:pPr>
        <w:jc w:val="center"/>
        <w:rPr>
          <w:color w:val="FF0000"/>
        </w:rPr>
      </w:pPr>
    </w:p>
    <w:p w14:paraId="03EEC895" w14:textId="77777777" w:rsidR="003A7A7D" w:rsidRDefault="003A7A7D" w:rsidP="002E60B9">
      <w:pPr>
        <w:ind w:left="0" w:firstLine="0"/>
        <w:rPr>
          <w:color w:val="FF0000"/>
        </w:rPr>
      </w:pPr>
    </w:p>
    <w:p w14:paraId="43860DE9" w14:textId="77777777" w:rsidR="003A7A7D" w:rsidRPr="000C2EB7" w:rsidRDefault="003A7A7D" w:rsidP="00100884">
      <w:pPr>
        <w:jc w:val="center"/>
        <w:rPr>
          <w:color w:val="FF0000"/>
        </w:rPr>
      </w:pPr>
    </w:p>
    <w:p w14:paraId="33918161" w14:textId="6D2D4822" w:rsidR="002E60B9" w:rsidRPr="002B0476" w:rsidRDefault="002E60B9" w:rsidP="002B0476">
      <w:pPr>
        <w:pStyle w:val="Caption"/>
        <w:keepNext/>
        <w:ind w:firstLine="0"/>
        <w:rPr>
          <w:i w:val="0"/>
          <w:iCs w:val="0"/>
          <w:color w:val="auto"/>
          <w:sz w:val="22"/>
          <w:szCs w:val="22"/>
        </w:rPr>
      </w:pPr>
      <w:r w:rsidRPr="002B0476">
        <w:rPr>
          <w:i w:val="0"/>
          <w:iCs w:val="0"/>
          <w:color w:val="auto"/>
          <w:sz w:val="22"/>
          <w:szCs w:val="22"/>
        </w:rPr>
        <w:lastRenderedPageBreak/>
        <w:t xml:space="preserve">Table </w:t>
      </w:r>
      <w:r w:rsidRPr="002B0476">
        <w:rPr>
          <w:i w:val="0"/>
          <w:iCs w:val="0"/>
          <w:color w:val="auto"/>
          <w:sz w:val="22"/>
          <w:szCs w:val="22"/>
        </w:rPr>
        <w:fldChar w:fldCharType="begin"/>
      </w:r>
      <w:r w:rsidRPr="002B0476">
        <w:rPr>
          <w:i w:val="0"/>
          <w:iCs w:val="0"/>
          <w:color w:val="auto"/>
          <w:sz w:val="22"/>
          <w:szCs w:val="22"/>
        </w:rPr>
        <w:instrText xml:space="preserve"> SEQ Table \* ARABIC </w:instrText>
      </w:r>
      <w:r w:rsidRPr="002B0476">
        <w:rPr>
          <w:i w:val="0"/>
          <w:iCs w:val="0"/>
          <w:color w:val="auto"/>
          <w:sz w:val="22"/>
          <w:szCs w:val="22"/>
        </w:rPr>
        <w:fldChar w:fldCharType="separate"/>
      </w:r>
      <w:r w:rsidR="00E94700" w:rsidRPr="002B0476">
        <w:rPr>
          <w:i w:val="0"/>
          <w:iCs w:val="0"/>
          <w:noProof/>
          <w:color w:val="auto"/>
          <w:sz w:val="22"/>
          <w:szCs w:val="22"/>
        </w:rPr>
        <w:t>1</w:t>
      </w:r>
      <w:r w:rsidRPr="002B0476">
        <w:rPr>
          <w:i w:val="0"/>
          <w:iCs w:val="0"/>
          <w:color w:val="auto"/>
          <w:sz w:val="22"/>
          <w:szCs w:val="22"/>
        </w:rPr>
        <w:fldChar w:fldCharType="end"/>
      </w:r>
      <w:r w:rsidRPr="002B0476">
        <w:rPr>
          <w:i w:val="0"/>
          <w:iCs w:val="0"/>
          <w:color w:val="auto"/>
          <w:sz w:val="22"/>
          <w:szCs w:val="22"/>
        </w:rPr>
        <w:t xml:space="preserve">: </w:t>
      </w:r>
      <w:r w:rsidR="006251A2" w:rsidRPr="002B0476">
        <w:rPr>
          <w:i w:val="0"/>
          <w:iCs w:val="0"/>
          <w:color w:val="auto"/>
          <w:sz w:val="22"/>
          <w:szCs w:val="22"/>
        </w:rPr>
        <w:t xml:space="preserve">Number of </w:t>
      </w:r>
      <w:r w:rsidRPr="002B0476">
        <w:rPr>
          <w:i w:val="0"/>
          <w:iCs w:val="0"/>
          <w:color w:val="auto"/>
          <w:sz w:val="22"/>
          <w:szCs w:val="22"/>
        </w:rPr>
        <w:t>Dwelling</w:t>
      </w:r>
      <w:r w:rsidR="006251A2" w:rsidRPr="002B0476">
        <w:rPr>
          <w:i w:val="0"/>
          <w:iCs w:val="0"/>
          <w:color w:val="auto"/>
          <w:sz w:val="22"/>
          <w:szCs w:val="22"/>
        </w:rPr>
        <w:t>s by</w:t>
      </w:r>
      <w:r w:rsidRPr="002B0476">
        <w:rPr>
          <w:i w:val="0"/>
          <w:iCs w:val="0"/>
          <w:color w:val="auto"/>
          <w:sz w:val="22"/>
          <w:szCs w:val="22"/>
        </w:rPr>
        <w:t xml:space="preserve"> type</w:t>
      </w:r>
      <w:r w:rsidR="006251A2" w:rsidRPr="002B0476">
        <w:rPr>
          <w:i w:val="0"/>
          <w:iCs w:val="0"/>
          <w:color w:val="auto"/>
          <w:sz w:val="22"/>
          <w:szCs w:val="22"/>
        </w:rPr>
        <w:t xml:space="preserve"> 2021</w:t>
      </w:r>
    </w:p>
    <w:tbl>
      <w:tblPr>
        <w:tblStyle w:val="TableGrid"/>
        <w:tblW w:w="10023" w:type="dxa"/>
        <w:tblInd w:w="-43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56"/>
        <w:gridCol w:w="1347"/>
        <w:gridCol w:w="1307"/>
        <w:gridCol w:w="1208"/>
        <w:gridCol w:w="1162"/>
        <w:gridCol w:w="1356"/>
        <w:gridCol w:w="1187"/>
      </w:tblGrid>
      <w:tr w:rsidR="002E60B9" w:rsidRPr="002E60B9" w14:paraId="0D1893C0" w14:textId="77777777" w:rsidTr="002E60B9">
        <w:tc>
          <w:tcPr>
            <w:tcW w:w="2456" w:type="dxa"/>
            <w:shd w:val="clear" w:color="auto" w:fill="auto"/>
          </w:tcPr>
          <w:p w14:paraId="0D052E21" w14:textId="77777777" w:rsidR="00171DFE" w:rsidRPr="002E60B9" w:rsidRDefault="00171DFE" w:rsidP="008F6CE2">
            <w:pPr>
              <w:ind w:left="0" w:firstLine="0"/>
              <w:rPr>
                <w:sz w:val="22"/>
                <w:szCs w:val="22"/>
              </w:rPr>
            </w:pPr>
          </w:p>
        </w:tc>
        <w:tc>
          <w:tcPr>
            <w:tcW w:w="2708" w:type="dxa"/>
            <w:gridSpan w:val="2"/>
            <w:shd w:val="clear" w:color="auto" w:fill="auto"/>
          </w:tcPr>
          <w:p w14:paraId="1AC76FB2" w14:textId="77777777" w:rsidR="00171DFE" w:rsidRPr="002E60B9" w:rsidRDefault="00171DFE" w:rsidP="008F6CE2">
            <w:pPr>
              <w:ind w:left="0" w:firstLine="0"/>
              <w:jc w:val="center"/>
              <w:rPr>
                <w:b/>
                <w:sz w:val="22"/>
                <w:szCs w:val="22"/>
              </w:rPr>
            </w:pPr>
            <w:r w:rsidRPr="002E60B9">
              <w:rPr>
                <w:b/>
                <w:sz w:val="22"/>
                <w:szCs w:val="22"/>
              </w:rPr>
              <w:t>Stratford-on-Avon</w:t>
            </w:r>
          </w:p>
        </w:tc>
        <w:tc>
          <w:tcPr>
            <w:tcW w:w="2392" w:type="dxa"/>
            <w:gridSpan w:val="2"/>
            <w:shd w:val="clear" w:color="auto" w:fill="auto"/>
          </w:tcPr>
          <w:p w14:paraId="7014D2FB" w14:textId="77777777" w:rsidR="00171DFE" w:rsidRPr="002E60B9" w:rsidRDefault="00171DFE" w:rsidP="008F6CE2">
            <w:pPr>
              <w:ind w:left="0" w:firstLine="0"/>
              <w:jc w:val="center"/>
              <w:rPr>
                <w:b/>
                <w:sz w:val="22"/>
                <w:szCs w:val="22"/>
              </w:rPr>
            </w:pPr>
            <w:r w:rsidRPr="002E60B9">
              <w:rPr>
                <w:b/>
                <w:sz w:val="22"/>
                <w:szCs w:val="22"/>
              </w:rPr>
              <w:t>Warwickshire</w:t>
            </w:r>
          </w:p>
        </w:tc>
        <w:tc>
          <w:tcPr>
            <w:tcW w:w="2467" w:type="dxa"/>
            <w:gridSpan w:val="2"/>
            <w:shd w:val="clear" w:color="auto" w:fill="auto"/>
          </w:tcPr>
          <w:p w14:paraId="69EEE6C9" w14:textId="77777777" w:rsidR="00171DFE" w:rsidRPr="002E60B9" w:rsidRDefault="00171DFE" w:rsidP="008F6CE2">
            <w:pPr>
              <w:ind w:left="0" w:firstLine="0"/>
              <w:jc w:val="center"/>
              <w:rPr>
                <w:b/>
                <w:sz w:val="22"/>
                <w:szCs w:val="22"/>
              </w:rPr>
            </w:pPr>
            <w:r w:rsidRPr="002E60B9">
              <w:rPr>
                <w:b/>
                <w:sz w:val="22"/>
                <w:szCs w:val="22"/>
              </w:rPr>
              <w:t>England</w:t>
            </w:r>
          </w:p>
        </w:tc>
      </w:tr>
      <w:tr w:rsidR="002E60B9" w:rsidRPr="002E60B9" w14:paraId="3890A3B2" w14:textId="77777777" w:rsidTr="002E60B9">
        <w:tc>
          <w:tcPr>
            <w:tcW w:w="2456" w:type="dxa"/>
            <w:shd w:val="clear" w:color="auto" w:fill="auto"/>
          </w:tcPr>
          <w:p w14:paraId="4DBED98F" w14:textId="77777777" w:rsidR="009A6909" w:rsidRPr="002E60B9" w:rsidRDefault="009A6909" w:rsidP="008F6CE2">
            <w:pPr>
              <w:ind w:left="0" w:firstLine="0"/>
              <w:rPr>
                <w:sz w:val="22"/>
                <w:szCs w:val="22"/>
              </w:rPr>
            </w:pPr>
          </w:p>
        </w:tc>
        <w:tc>
          <w:tcPr>
            <w:tcW w:w="1363" w:type="dxa"/>
            <w:shd w:val="clear" w:color="auto" w:fill="auto"/>
            <w:vAlign w:val="center"/>
          </w:tcPr>
          <w:p w14:paraId="4EEB7970" w14:textId="1EEE6894" w:rsidR="009A6909" w:rsidRPr="002E60B9" w:rsidRDefault="009A6909" w:rsidP="009A6909">
            <w:pPr>
              <w:ind w:left="0" w:firstLine="0"/>
              <w:jc w:val="center"/>
              <w:rPr>
                <w:b/>
                <w:i/>
                <w:sz w:val="22"/>
                <w:szCs w:val="22"/>
              </w:rPr>
            </w:pPr>
            <w:r w:rsidRPr="002E60B9">
              <w:rPr>
                <w:b/>
                <w:i/>
                <w:sz w:val="22"/>
                <w:szCs w:val="22"/>
              </w:rPr>
              <w:t>No</w:t>
            </w:r>
          </w:p>
        </w:tc>
        <w:tc>
          <w:tcPr>
            <w:tcW w:w="1345" w:type="dxa"/>
            <w:shd w:val="clear" w:color="auto" w:fill="auto"/>
            <w:vAlign w:val="center"/>
          </w:tcPr>
          <w:p w14:paraId="2DAD2BA0" w14:textId="3B2EAFE9" w:rsidR="009A6909" w:rsidRPr="002E60B9" w:rsidRDefault="009A6909" w:rsidP="009A6909">
            <w:pPr>
              <w:ind w:left="0" w:firstLine="0"/>
              <w:jc w:val="center"/>
              <w:rPr>
                <w:b/>
                <w:i/>
                <w:sz w:val="22"/>
                <w:szCs w:val="22"/>
              </w:rPr>
            </w:pPr>
            <w:r w:rsidRPr="002E60B9">
              <w:rPr>
                <w:b/>
                <w:i/>
                <w:sz w:val="22"/>
                <w:szCs w:val="22"/>
              </w:rPr>
              <w:t>%</w:t>
            </w:r>
          </w:p>
        </w:tc>
        <w:tc>
          <w:tcPr>
            <w:tcW w:w="1208" w:type="dxa"/>
            <w:shd w:val="clear" w:color="auto" w:fill="auto"/>
            <w:vAlign w:val="center"/>
          </w:tcPr>
          <w:p w14:paraId="2CB1394D" w14:textId="06B29836" w:rsidR="009A6909" w:rsidRPr="002E60B9" w:rsidRDefault="009A6909" w:rsidP="009A6909">
            <w:pPr>
              <w:ind w:left="0" w:firstLine="0"/>
              <w:jc w:val="center"/>
              <w:rPr>
                <w:b/>
                <w:i/>
                <w:sz w:val="22"/>
                <w:szCs w:val="22"/>
              </w:rPr>
            </w:pPr>
            <w:r w:rsidRPr="002E60B9">
              <w:rPr>
                <w:b/>
                <w:i/>
                <w:sz w:val="22"/>
                <w:szCs w:val="22"/>
              </w:rPr>
              <w:t>No</w:t>
            </w:r>
          </w:p>
        </w:tc>
        <w:tc>
          <w:tcPr>
            <w:tcW w:w="1184" w:type="dxa"/>
            <w:shd w:val="clear" w:color="auto" w:fill="auto"/>
            <w:vAlign w:val="center"/>
          </w:tcPr>
          <w:p w14:paraId="676F6972" w14:textId="0C8614B4" w:rsidR="009A6909" w:rsidRPr="002E60B9" w:rsidRDefault="009A6909" w:rsidP="009A6909">
            <w:pPr>
              <w:ind w:left="0" w:firstLine="0"/>
              <w:jc w:val="center"/>
              <w:rPr>
                <w:b/>
                <w:i/>
                <w:sz w:val="22"/>
                <w:szCs w:val="22"/>
              </w:rPr>
            </w:pPr>
            <w:r w:rsidRPr="002E60B9">
              <w:rPr>
                <w:b/>
                <w:i/>
                <w:sz w:val="22"/>
                <w:szCs w:val="22"/>
              </w:rPr>
              <w:t>%</w:t>
            </w:r>
          </w:p>
        </w:tc>
        <w:tc>
          <w:tcPr>
            <w:tcW w:w="1247" w:type="dxa"/>
            <w:shd w:val="clear" w:color="auto" w:fill="auto"/>
            <w:vAlign w:val="center"/>
          </w:tcPr>
          <w:p w14:paraId="12A29963" w14:textId="5F66D776" w:rsidR="009A6909" w:rsidRPr="002E60B9" w:rsidRDefault="009A6909" w:rsidP="009A6909">
            <w:pPr>
              <w:ind w:left="0" w:firstLine="0"/>
              <w:jc w:val="center"/>
              <w:rPr>
                <w:b/>
                <w:i/>
                <w:sz w:val="22"/>
                <w:szCs w:val="22"/>
              </w:rPr>
            </w:pPr>
            <w:r w:rsidRPr="002E60B9">
              <w:rPr>
                <w:b/>
                <w:i/>
                <w:sz w:val="22"/>
                <w:szCs w:val="22"/>
              </w:rPr>
              <w:t>No</w:t>
            </w:r>
          </w:p>
        </w:tc>
        <w:tc>
          <w:tcPr>
            <w:tcW w:w="1220" w:type="dxa"/>
            <w:shd w:val="clear" w:color="auto" w:fill="auto"/>
            <w:vAlign w:val="center"/>
          </w:tcPr>
          <w:p w14:paraId="382D2FD4" w14:textId="0764AFB3" w:rsidR="009A6909" w:rsidRPr="002E60B9" w:rsidRDefault="009A6909" w:rsidP="009A6909">
            <w:pPr>
              <w:ind w:left="0" w:firstLine="0"/>
              <w:jc w:val="center"/>
              <w:rPr>
                <w:b/>
                <w:i/>
                <w:sz w:val="22"/>
                <w:szCs w:val="22"/>
              </w:rPr>
            </w:pPr>
            <w:r w:rsidRPr="002E60B9">
              <w:rPr>
                <w:b/>
                <w:i/>
                <w:sz w:val="22"/>
                <w:szCs w:val="22"/>
              </w:rPr>
              <w:t>%</w:t>
            </w:r>
          </w:p>
        </w:tc>
      </w:tr>
      <w:tr w:rsidR="002E60B9" w:rsidRPr="002E60B9" w14:paraId="2EA11FCC" w14:textId="77777777" w:rsidTr="002E60B9">
        <w:tc>
          <w:tcPr>
            <w:tcW w:w="2456" w:type="dxa"/>
            <w:shd w:val="clear" w:color="auto" w:fill="auto"/>
          </w:tcPr>
          <w:p w14:paraId="0B6FB6B0" w14:textId="491A9942" w:rsidR="009A6909" w:rsidRPr="002E60B9" w:rsidRDefault="009A6909" w:rsidP="008F6CE2">
            <w:pPr>
              <w:ind w:left="0" w:firstLine="0"/>
              <w:rPr>
                <w:sz w:val="22"/>
                <w:szCs w:val="22"/>
              </w:rPr>
            </w:pPr>
            <w:r w:rsidRPr="002E60B9">
              <w:rPr>
                <w:b/>
                <w:sz w:val="22"/>
                <w:szCs w:val="22"/>
              </w:rPr>
              <w:t>Bungalow</w:t>
            </w:r>
          </w:p>
        </w:tc>
        <w:tc>
          <w:tcPr>
            <w:tcW w:w="1363" w:type="dxa"/>
            <w:shd w:val="clear" w:color="auto" w:fill="auto"/>
          </w:tcPr>
          <w:p w14:paraId="602CA3B5" w14:textId="350B7420" w:rsidR="009A6909" w:rsidRPr="00F85679" w:rsidRDefault="009A6909" w:rsidP="00171DFE">
            <w:pPr>
              <w:spacing w:after="0"/>
              <w:ind w:left="0" w:firstLine="0"/>
              <w:jc w:val="center"/>
              <w:rPr>
                <w:rFonts w:cs="Calibri"/>
                <w:sz w:val="22"/>
                <w:szCs w:val="22"/>
                <w:lang w:eastAsia="en-GB"/>
              </w:rPr>
            </w:pPr>
            <w:r w:rsidRPr="00F85679">
              <w:rPr>
                <w:rFonts w:cs="Calibri"/>
                <w:sz w:val="22"/>
                <w:szCs w:val="22"/>
              </w:rPr>
              <w:t>5,</w:t>
            </w:r>
            <w:r w:rsidR="00881E3C" w:rsidRPr="00F85679">
              <w:rPr>
                <w:rFonts w:cs="Calibri"/>
                <w:sz w:val="22"/>
                <w:szCs w:val="22"/>
              </w:rPr>
              <w:t>920</w:t>
            </w:r>
          </w:p>
        </w:tc>
        <w:tc>
          <w:tcPr>
            <w:tcW w:w="1345" w:type="dxa"/>
            <w:shd w:val="clear" w:color="auto" w:fill="auto"/>
          </w:tcPr>
          <w:p w14:paraId="57C02486" w14:textId="7C7223D8" w:rsidR="009A6909" w:rsidRPr="00F85679" w:rsidRDefault="009A6909" w:rsidP="00171DFE">
            <w:pPr>
              <w:spacing w:after="0"/>
              <w:ind w:left="0" w:firstLine="0"/>
              <w:jc w:val="center"/>
              <w:rPr>
                <w:rFonts w:cs="Calibri"/>
                <w:sz w:val="22"/>
                <w:szCs w:val="22"/>
                <w:lang w:eastAsia="en-GB"/>
              </w:rPr>
            </w:pPr>
            <w:r w:rsidRPr="00F85679">
              <w:rPr>
                <w:rFonts w:cs="Calibri"/>
                <w:sz w:val="22"/>
                <w:szCs w:val="22"/>
                <w:lang w:eastAsia="en-GB"/>
              </w:rPr>
              <w:t>10</w:t>
            </w:r>
          </w:p>
        </w:tc>
        <w:tc>
          <w:tcPr>
            <w:tcW w:w="1208" w:type="dxa"/>
            <w:shd w:val="clear" w:color="auto" w:fill="auto"/>
          </w:tcPr>
          <w:p w14:paraId="4EA8EC7C" w14:textId="694451D1" w:rsidR="009A6909" w:rsidRPr="00F85679" w:rsidRDefault="009A6909" w:rsidP="00171DFE">
            <w:pPr>
              <w:spacing w:after="0"/>
              <w:ind w:left="0" w:firstLine="0"/>
              <w:jc w:val="center"/>
              <w:rPr>
                <w:rFonts w:cs="Calibri"/>
                <w:sz w:val="22"/>
                <w:szCs w:val="22"/>
                <w:lang w:eastAsia="en-GB"/>
              </w:rPr>
            </w:pPr>
            <w:r w:rsidRPr="00F85679">
              <w:rPr>
                <w:rFonts w:cs="Calibri"/>
                <w:sz w:val="22"/>
                <w:szCs w:val="22"/>
              </w:rPr>
              <w:t>2</w:t>
            </w:r>
            <w:r w:rsidR="00881E3C" w:rsidRPr="00F85679">
              <w:rPr>
                <w:rFonts w:cs="Calibri"/>
                <w:sz w:val="22"/>
                <w:szCs w:val="22"/>
              </w:rPr>
              <w:t>1,050</w:t>
            </w:r>
          </w:p>
        </w:tc>
        <w:tc>
          <w:tcPr>
            <w:tcW w:w="1184" w:type="dxa"/>
            <w:shd w:val="clear" w:color="auto" w:fill="auto"/>
          </w:tcPr>
          <w:p w14:paraId="0146176E" w14:textId="37163A06" w:rsidR="009A6909" w:rsidRPr="00F85679" w:rsidRDefault="009A6909" w:rsidP="00171DFE">
            <w:pPr>
              <w:spacing w:after="0"/>
              <w:ind w:left="0" w:firstLine="0"/>
              <w:jc w:val="center"/>
              <w:rPr>
                <w:rFonts w:cs="Calibri"/>
                <w:sz w:val="22"/>
                <w:szCs w:val="22"/>
                <w:lang w:eastAsia="en-GB"/>
              </w:rPr>
            </w:pPr>
            <w:r w:rsidRPr="00F85679">
              <w:rPr>
                <w:rFonts w:cs="Calibri"/>
                <w:sz w:val="22"/>
                <w:szCs w:val="22"/>
                <w:lang w:eastAsia="en-GB"/>
              </w:rPr>
              <w:t>8</w:t>
            </w:r>
          </w:p>
        </w:tc>
        <w:tc>
          <w:tcPr>
            <w:tcW w:w="1247" w:type="dxa"/>
            <w:shd w:val="clear" w:color="auto" w:fill="auto"/>
          </w:tcPr>
          <w:p w14:paraId="06499C89" w14:textId="5EFBD703" w:rsidR="009A6909" w:rsidRPr="00F85679" w:rsidRDefault="00CB117E" w:rsidP="009A6909">
            <w:pPr>
              <w:spacing w:after="0"/>
              <w:ind w:left="0" w:firstLine="0"/>
              <w:jc w:val="center"/>
              <w:rPr>
                <w:rFonts w:cs="Calibri"/>
                <w:sz w:val="22"/>
                <w:szCs w:val="22"/>
                <w:lang w:eastAsia="en-GB"/>
              </w:rPr>
            </w:pPr>
            <w:r w:rsidRPr="00F85679">
              <w:rPr>
                <w:rFonts w:cs="Calibri"/>
                <w:sz w:val="22"/>
                <w:szCs w:val="22"/>
              </w:rPr>
              <w:t>2,295,390</w:t>
            </w:r>
          </w:p>
        </w:tc>
        <w:tc>
          <w:tcPr>
            <w:tcW w:w="1220" w:type="dxa"/>
            <w:shd w:val="clear" w:color="auto" w:fill="auto"/>
          </w:tcPr>
          <w:p w14:paraId="78FD75E7" w14:textId="7139AFD0" w:rsidR="009A6909" w:rsidRPr="00F85679" w:rsidRDefault="009A6909" w:rsidP="009A6909">
            <w:pPr>
              <w:spacing w:after="0"/>
              <w:ind w:left="0" w:firstLine="0"/>
              <w:jc w:val="center"/>
              <w:rPr>
                <w:rFonts w:cs="Calibri"/>
                <w:sz w:val="22"/>
                <w:szCs w:val="22"/>
                <w:lang w:eastAsia="en-GB"/>
              </w:rPr>
            </w:pPr>
            <w:r w:rsidRPr="00F85679">
              <w:rPr>
                <w:rFonts w:cs="Calibri"/>
                <w:sz w:val="22"/>
                <w:szCs w:val="22"/>
                <w:lang w:eastAsia="en-GB"/>
              </w:rPr>
              <w:t>9</w:t>
            </w:r>
          </w:p>
        </w:tc>
      </w:tr>
      <w:tr w:rsidR="002E60B9" w:rsidRPr="002E60B9" w14:paraId="2DC9CB08" w14:textId="77777777" w:rsidTr="002E60B9">
        <w:tc>
          <w:tcPr>
            <w:tcW w:w="2456" w:type="dxa"/>
            <w:shd w:val="clear" w:color="auto" w:fill="auto"/>
          </w:tcPr>
          <w:p w14:paraId="02E8E15B" w14:textId="77777777" w:rsidR="009A6909" w:rsidRPr="002E60B9" w:rsidRDefault="009A6909" w:rsidP="008F6CE2">
            <w:pPr>
              <w:ind w:left="0" w:firstLine="0"/>
              <w:rPr>
                <w:b/>
                <w:sz w:val="22"/>
                <w:szCs w:val="22"/>
              </w:rPr>
            </w:pPr>
            <w:r w:rsidRPr="002E60B9">
              <w:rPr>
                <w:b/>
                <w:sz w:val="22"/>
                <w:szCs w:val="22"/>
              </w:rPr>
              <w:t>Flats/Maisonettes</w:t>
            </w:r>
          </w:p>
        </w:tc>
        <w:tc>
          <w:tcPr>
            <w:tcW w:w="1363" w:type="dxa"/>
            <w:shd w:val="clear" w:color="auto" w:fill="auto"/>
          </w:tcPr>
          <w:p w14:paraId="78C25A46" w14:textId="6E59F242" w:rsidR="009A6909" w:rsidRPr="00F85679" w:rsidRDefault="009A6909" w:rsidP="00171DFE">
            <w:pPr>
              <w:spacing w:after="0"/>
              <w:ind w:left="0" w:firstLine="0"/>
              <w:jc w:val="center"/>
              <w:rPr>
                <w:rFonts w:cs="Calibri"/>
                <w:sz w:val="22"/>
                <w:szCs w:val="22"/>
                <w:lang w:eastAsia="en-GB"/>
              </w:rPr>
            </w:pPr>
            <w:r w:rsidRPr="00F85679">
              <w:rPr>
                <w:rFonts w:cs="Calibri"/>
                <w:sz w:val="22"/>
                <w:szCs w:val="22"/>
              </w:rPr>
              <w:t>7,3</w:t>
            </w:r>
            <w:r w:rsidR="00881E3C" w:rsidRPr="00F85679">
              <w:rPr>
                <w:rFonts w:cs="Calibri"/>
                <w:sz w:val="22"/>
                <w:szCs w:val="22"/>
              </w:rPr>
              <w:t>90</w:t>
            </w:r>
          </w:p>
        </w:tc>
        <w:tc>
          <w:tcPr>
            <w:tcW w:w="1345" w:type="dxa"/>
            <w:shd w:val="clear" w:color="auto" w:fill="auto"/>
          </w:tcPr>
          <w:p w14:paraId="3B1A00CE" w14:textId="4BE2267A" w:rsidR="009A6909" w:rsidRPr="00F85679" w:rsidRDefault="009A6909" w:rsidP="00171DFE">
            <w:pPr>
              <w:spacing w:after="0"/>
              <w:ind w:left="0" w:firstLine="0"/>
              <w:jc w:val="center"/>
              <w:rPr>
                <w:rFonts w:cs="Calibri"/>
                <w:sz w:val="22"/>
                <w:szCs w:val="22"/>
                <w:lang w:eastAsia="en-GB"/>
              </w:rPr>
            </w:pPr>
            <w:r w:rsidRPr="00F85679">
              <w:rPr>
                <w:rFonts w:cs="Calibri"/>
                <w:sz w:val="22"/>
                <w:szCs w:val="22"/>
                <w:lang w:eastAsia="en-GB"/>
              </w:rPr>
              <w:t>12</w:t>
            </w:r>
          </w:p>
        </w:tc>
        <w:tc>
          <w:tcPr>
            <w:tcW w:w="1208" w:type="dxa"/>
            <w:shd w:val="clear" w:color="auto" w:fill="auto"/>
          </w:tcPr>
          <w:p w14:paraId="4723AE2A" w14:textId="54EE9381" w:rsidR="009A6909" w:rsidRPr="00F85679" w:rsidRDefault="00881E3C" w:rsidP="009A6909">
            <w:pPr>
              <w:spacing w:after="0"/>
              <w:ind w:left="0" w:firstLine="0"/>
              <w:jc w:val="center"/>
              <w:rPr>
                <w:rFonts w:cs="Calibri"/>
                <w:sz w:val="22"/>
                <w:szCs w:val="22"/>
                <w:lang w:eastAsia="en-GB"/>
              </w:rPr>
            </w:pPr>
            <w:r w:rsidRPr="00F85679">
              <w:rPr>
                <w:rFonts w:cs="Calibri"/>
                <w:sz w:val="22"/>
                <w:szCs w:val="22"/>
              </w:rPr>
              <w:t>39,070</w:t>
            </w:r>
          </w:p>
        </w:tc>
        <w:tc>
          <w:tcPr>
            <w:tcW w:w="1184" w:type="dxa"/>
            <w:shd w:val="clear" w:color="auto" w:fill="auto"/>
          </w:tcPr>
          <w:p w14:paraId="6F9DA0C6" w14:textId="69A3B20C" w:rsidR="009A6909" w:rsidRPr="00F85679" w:rsidRDefault="009A6909" w:rsidP="009A6909">
            <w:pPr>
              <w:spacing w:after="0"/>
              <w:ind w:left="0" w:firstLine="0"/>
              <w:jc w:val="center"/>
              <w:rPr>
                <w:rFonts w:cs="Calibri"/>
                <w:sz w:val="22"/>
                <w:szCs w:val="22"/>
                <w:lang w:eastAsia="en-GB"/>
              </w:rPr>
            </w:pPr>
            <w:r w:rsidRPr="00F85679">
              <w:rPr>
                <w:rFonts w:cs="Calibri"/>
                <w:sz w:val="22"/>
                <w:szCs w:val="22"/>
                <w:lang w:eastAsia="en-GB"/>
              </w:rPr>
              <w:t>15</w:t>
            </w:r>
          </w:p>
        </w:tc>
        <w:tc>
          <w:tcPr>
            <w:tcW w:w="1247" w:type="dxa"/>
            <w:shd w:val="clear" w:color="auto" w:fill="auto"/>
          </w:tcPr>
          <w:p w14:paraId="21C4210C" w14:textId="7C08B5FB" w:rsidR="009A6909" w:rsidRPr="00F85679" w:rsidRDefault="00874D49" w:rsidP="009A6909">
            <w:pPr>
              <w:spacing w:after="0"/>
              <w:ind w:left="0" w:firstLine="0"/>
              <w:jc w:val="center"/>
              <w:rPr>
                <w:rFonts w:cs="Calibri"/>
                <w:sz w:val="22"/>
                <w:szCs w:val="22"/>
                <w:lang w:eastAsia="en-GB"/>
              </w:rPr>
            </w:pPr>
            <w:r w:rsidRPr="00F85679">
              <w:rPr>
                <w:rFonts w:cs="Calibri"/>
                <w:sz w:val="22"/>
                <w:szCs w:val="22"/>
              </w:rPr>
              <w:t>5,888,410</w:t>
            </w:r>
          </w:p>
        </w:tc>
        <w:tc>
          <w:tcPr>
            <w:tcW w:w="1220" w:type="dxa"/>
            <w:shd w:val="clear" w:color="auto" w:fill="auto"/>
          </w:tcPr>
          <w:p w14:paraId="0D2DB6C8" w14:textId="117D8BEC" w:rsidR="009A6909" w:rsidRPr="00F85679" w:rsidRDefault="009A6909" w:rsidP="009A6909">
            <w:pPr>
              <w:spacing w:after="0"/>
              <w:ind w:left="0" w:firstLine="0"/>
              <w:jc w:val="center"/>
              <w:rPr>
                <w:rFonts w:cs="Calibri"/>
                <w:sz w:val="22"/>
                <w:szCs w:val="22"/>
                <w:lang w:eastAsia="en-GB"/>
              </w:rPr>
            </w:pPr>
            <w:r w:rsidRPr="00F85679">
              <w:rPr>
                <w:rFonts w:cs="Calibri"/>
                <w:sz w:val="22"/>
                <w:szCs w:val="22"/>
                <w:lang w:eastAsia="en-GB"/>
              </w:rPr>
              <w:t>24</w:t>
            </w:r>
          </w:p>
        </w:tc>
      </w:tr>
      <w:tr w:rsidR="002E60B9" w:rsidRPr="002E60B9" w14:paraId="5B84315B" w14:textId="77777777" w:rsidTr="002E60B9">
        <w:tc>
          <w:tcPr>
            <w:tcW w:w="2456" w:type="dxa"/>
            <w:shd w:val="clear" w:color="auto" w:fill="auto"/>
          </w:tcPr>
          <w:p w14:paraId="317ECA79" w14:textId="77777777" w:rsidR="009A6909" w:rsidRPr="002E60B9" w:rsidRDefault="009A6909" w:rsidP="008F6CE2">
            <w:pPr>
              <w:ind w:left="0" w:firstLine="0"/>
              <w:rPr>
                <w:b/>
                <w:sz w:val="22"/>
                <w:szCs w:val="22"/>
              </w:rPr>
            </w:pPr>
            <w:r w:rsidRPr="002E60B9">
              <w:rPr>
                <w:b/>
                <w:sz w:val="22"/>
                <w:szCs w:val="22"/>
              </w:rPr>
              <w:t>Terraced</w:t>
            </w:r>
          </w:p>
        </w:tc>
        <w:tc>
          <w:tcPr>
            <w:tcW w:w="1363" w:type="dxa"/>
            <w:shd w:val="clear" w:color="auto" w:fill="auto"/>
          </w:tcPr>
          <w:p w14:paraId="1CC55AE8" w14:textId="411A9861" w:rsidR="009A6909" w:rsidRPr="00F85679" w:rsidRDefault="009A6909" w:rsidP="00171DFE">
            <w:pPr>
              <w:spacing w:after="0"/>
              <w:ind w:left="0" w:firstLine="0"/>
              <w:jc w:val="center"/>
              <w:rPr>
                <w:rFonts w:cs="Calibri"/>
                <w:sz w:val="22"/>
                <w:szCs w:val="22"/>
                <w:lang w:eastAsia="en-GB"/>
              </w:rPr>
            </w:pPr>
            <w:r w:rsidRPr="00F85679">
              <w:rPr>
                <w:rFonts w:cs="Calibri"/>
                <w:sz w:val="22"/>
                <w:szCs w:val="22"/>
              </w:rPr>
              <w:t>1</w:t>
            </w:r>
            <w:r w:rsidR="00881E3C" w:rsidRPr="00F85679">
              <w:rPr>
                <w:rFonts w:cs="Calibri"/>
                <w:sz w:val="22"/>
                <w:szCs w:val="22"/>
              </w:rPr>
              <w:t>3,130</w:t>
            </w:r>
          </w:p>
        </w:tc>
        <w:tc>
          <w:tcPr>
            <w:tcW w:w="1345" w:type="dxa"/>
            <w:shd w:val="clear" w:color="auto" w:fill="auto"/>
          </w:tcPr>
          <w:p w14:paraId="682A5241" w14:textId="7959C312" w:rsidR="009A6909" w:rsidRPr="00F85679" w:rsidRDefault="009A6909" w:rsidP="00171DFE">
            <w:pPr>
              <w:spacing w:after="0"/>
              <w:ind w:left="0" w:firstLine="0"/>
              <w:jc w:val="center"/>
              <w:rPr>
                <w:rFonts w:cs="Calibri"/>
                <w:sz w:val="22"/>
                <w:szCs w:val="22"/>
                <w:lang w:eastAsia="en-GB"/>
              </w:rPr>
            </w:pPr>
            <w:r w:rsidRPr="00F85679">
              <w:rPr>
                <w:rFonts w:cs="Calibri"/>
                <w:sz w:val="22"/>
                <w:szCs w:val="22"/>
                <w:lang w:eastAsia="en-GB"/>
              </w:rPr>
              <w:t>22</w:t>
            </w:r>
          </w:p>
        </w:tc>
        <w:tc>
          <w:tcPr>
            <w:tcW w:w="1208" w:type="dxa"/>
            <w:shd w:val="clear" w:color="auto" w:fill="auto"/>
          </w:tcPr>
          <w:p w14:paraId="5ED2F061" w14:textId="41C09634" w:rsidR="009A6909" w:rsidRPr="00F85679" w:rsidRDefault="009A6909" w:rsidP="009A6909">
            <w:pPr>
              <w:spacing w:after="0"/>
              <w:ind w:left="0" w:firstLine="0"/>
              <w:jc w:val="center"/>
              <w:rPr>
                <w:rFonts w:cs="Calibri"/>
                <w:sz w:val="22"/>
                <w:szCs w:val="22"/>
                <w:lang w:eastAsia="en-GB"/>
              </w:rPr>
            </w:pPr>
            <w:r w:rsidRPr="00F85679">
              <w:rPr>
                <w:rFonts w:cs="Calibri"/>
                <w:sz w:val="22"/>
                <w:szCs w:val="22"/>
              </w:rPr>
              <w:t>6</w:t>
            </w:r>
            <w:r w:rsidR="00CB117E" w:rsidRPr="00F85679">
              <w:rPr>
                <w:rFonts w:cs="Calibri"/>
                <w:sz w:val="22"/>
                <w:szCs w:val="22"/>
              </w:rPr>
              <w:t>4,460</w:t>
            </w:r>
          </w:p>
        </w:tc>
        <w:tc>
          <w:tcPr>
            <w:tcW w:w="1184" w:type="dxa"/>
            <w:shd w:val="clear" w:color="auto" w:fill="auto"/>
          </w:tcPr>
          <w:p w14:paraId="3AA280B3" w14:textId="36D31C80" w:rsidR="009A6909" w:rsidRPr="00F85679" w:rsidRDefault="009A6909" w:rsidP="009A6909">
            <w:pPr>
              <w:spacing w:after="0"/>
              <w:ind w:left="0" w:firstLine="0"/>
              <w:jc w:val="center"/>
              <w:rPr>
                <w:rFonts w:cs="Calibri"/>
                <w:sz w:val="22"/>
                <w:szCs w:val="22"/>
                <w:lang w:eastAsia="en-GB"/>
              </w:rPr>
            </w:pPr>
            <w:r w:rsidRPr="00F85679">
              <w:rPr>
                <w:rFonts w:cs="Calibri"/>
                <w:sz w:val="22"/>
                <w:szCs w:val="22"/>
                <w:lang w:eastAsia="en-GB"/>
              </w:rPr>
              <w:t>25</w:t>
            </w:r>
          </w:p>
        </w:tc>
        <w:tc>
          <w:tcPr>
            <w:tcW w:w="1247" w:type="dxa"/>
            <w:shd w:val="clear" w:color="auto" w:fill="auto"/>
          </w:tcPr>
          <w:p w14:paraId="67400057" w14:textId="297F3986" w:rsidR="009A6909" w:rsidRPr="00F85679" w:rsidRDefault="00874D49" w:rsidP="009A6909">
            <w:pPr>
              <w:spacing w:after="0"/>
              <w:ind w:left="0" w:firstLine="0"/>
              <w:jc w:val="center"/>
              <w:rPr>
                <w:rFonts w:cs="Calibri"/>
                <w:sz w:val="22"/>
                <w:szCs w:val="22"/>
                <w:lang w:eastAsia="en-GB"/>
              </w:rPr>
            </w:pPr>
            <w:r w:rsidRPr="00F85679">
              <w:rPr>
                <w:rFonts w:cs="Calibri"/>
                <w:sz w:val="22"/>
                <w:szCs w:val="22"/>
              </w:rPr>
              <w:t>6,502,770</w:t>
            </w:r>
          </w:p>
        </w:tc>
        <w:tc>
          <w:tcPr>
            <w:tcW w:w="1220" w:type="dxa"/>
            <w:shd w:val="clear" w:color="auto" w:fill="auto"/>
          </w:tcPr>
          <w:p w14:paraId="07301AE3" w14:textId="3FE8C647" w:rsidR="009A6909" w:rsidRPr="00F85679" w:rsidRDefault="009A6909" w:rsidP="009A6909">
            <w:pPr>
              <w:spacing w:after="0"/>
              <w:ind w:left="0" w:firstLine="0"/>
              <w:jc w:val="center"/>
              <w:rPr>
                <w:rFonts w:cs="Calibri"/>
                <w:sz w:val="22"/>
                <w:szCs w:val="22"/>
                <w:lang w:eastAsia="en-GB"/>
              </w:rPr>
            </w:pPr>
            <w:r w:rsidRPr="00F85679">
              <w:rPr>
                <w:rFonts w:cs="Calibri"/>
                <w:sz w:val="22"/>
                <w:szCs w:val="22"/>
                <w:lang w:eastAsia="en-GB"/>
              </w:rPr>
              <w:t>27</w:t>
            </w:r>
          </w:p>
        </w:tc>
      </w:tr>
      <w:tr w:rsidR="002E60B9" w:rsidRPr="002E60B9" w14:paraId="57DDA4DB" w14:textId="77777777" w:rsidTr="002E60B9">
        <w:tc>
          <w:tcPr>
            <w:tcW w:w="2456" w:type="dxa"/>
            <w:shd w:val="clear" w:color="auto" w:fill="auto"/>
          </w:tcPr>
          <w:p w14:paraId="7966676B" w14:textId="77777777" w:rsidR="009A6909" w:rsidRPr="002E60B9" w:rsidRDefault="009A6909" w:rsidP="008F6CE2">
            <w:pPr>
              <w:ind w:left="0" w:firstLine="0"/>
              <w:rPr>
                <w:b/>
                <w:sz w:val="22"/>
                <w:szCs w:val="22"/>
              </w:rPr>
            </w:pPr>
            <w:r w:rsidRPr="002E60B9">
              <w:rPr>
                <w:b/>
                <w:sz w:val="22"/>
                <w:szCs w:val="22"/>
              </w:rPr>
              <w:t>Semi-Detached</w:t>
            </w:r>
          </w:p>
        </w:tc>
        <w:tc>
          <w:tcPr>
            <w:tcW w:w="1363" w:type="dxa"/>
            <w:shd w:val="clear" w:color="auto" w:fill="auto"/>
          </w:tcPr>
          <w:p w14:paraId="1C750803" w14:textId="32BC5378" w:rsidR="009A6909" w:rsidRPr="00F85679" w:rsidRDefault="009A6909" w:rsidP="00171DFE">
            <w:pPr>
              <w:spacing w:after="0"/>
              <w:ind w:left="0" w:firstLine="0"/>
              <w:jc w:val="center"/>
              <w:rPr>
                <w:rFonts w:cs="Calibri"/>
                <w:sz w:val="22"/>
                <w:szCs w:val="22"/>
                <w:lang w:eastAsia="en-GB"/>
              </w:rPr>
            </w:pPr>
            <w:r w:rsidRPr="00F85679">
              <w:rPr>
                <w:rFonts w:cs="Calibri"/>
                <w:sz w:val="22"/>
                <w:szCs w:val="22"/>
              </w:rPr>
              <w:t>14,</w:t>
            </w:r>
            <w:r w:rsidR="00881E3C" w:rsidRPr="00F85679">
              <w:rPr>
                <w:rFonts w:cs="Calibri"/>
                <w:sz w:val="22"/>
                <w:szCs w:val="22"/>
              </w:rPr>
              <w:t>880</w:t>
            </w:r>
          </w:p>
        </w:tc>
        <w:tc>
          <w:tcPr>
            <w:tcW w:w="1345" w:type="dxa"/>
            <w:shd w:val="clear" w:color="auto" w:fill="auto"/>
          </w:tcPr>
          <w:p w14:paraId="689A5B45" w14:textId="4E3B69E0" w:rsidR="009A6909" w:rsidRPr="00F85679" w:rsidRDefault="009A6909" w:rsidP="00171DFE">
            <w:pPr>
              <w:spacing w:after="0"/>
              <w:ind w:left="0" w:firstLine="0"/>
              <w:jc w:val="center"/>
              <w:rPr>
                <w:rFonts w:cs="Calibri"/>
                <w:sz w:val="22"/>
                <w:szCs w:val="22"/>
                <w:lang w:eastAsia="en-GB"/>
              </w:rPr>
            </w:pPr>
            <w:r w:rsidRPr="00F85679">
              <w:rPr>
                <w:rFonts w:cs="Calibri"/>
                <w:sz w:val="22"/>
                <w:szCs w:val="22"/>
                <w:lang w:eastAsia="en-GB"/>
              </w:rPr>
              <w:t>25</w:t>
            </w:r>
          </w:p>
        </w:tc>
        <w:tc>
          <w:tcPr>
            <w:tcW w:w="1208" w:type="dxa"/>
            <w:shd w:val="clear" w:color="auto" w:fill="auto"/>
          </w:tcPr>
          <w:p w14:paraId="2FF416BE" w14:textId="041F6709" w:rsidR="009A6909" w:rsidRPr="00F85679" w:rsidRDefault="009A6909" w:rsidP="009A6909">
            <w:pPr>
              <w:spacing w:after="0"/>
              <w:ind w:left="0" w:firstLine="0"/>
              <w:jc w:val="center"/>
              <w:rPr>
                <w:rFonts w:cs="Calibri"/>
                <w:sz w:val="22"/>
                <w:szCs w:val="22"/>
                <w:lang w:eastAsia="en-GB"/>
              </w:rPr>
            </w:pPr>
            <w:r w:rsidRPr="00F85679">
              <w:rPr>
                <w:rFonts w:cs="Calibri"/>
                <w:sz w:val="22"/>
                <w:szCs w:val="22"/>
              </w:rPr>
              <w:t>7</w:t>
            </w:r>
            <w:r w:rsidR="00CB117E" w:rsidRPr="00F85679">
              <w:rPr>
                <w:rFonts w:cs="Calibri"/>
                <w:sz w:val="22"/>
                <w:szCs w:val="22"/>
              </w:rPr>
              <w:t>2,750</w:t>
            </w:r>
          </w:p>
        </w:tc>
        <w:tc>
          <w:tcPr>
            <w:tcW w:w="1184" w:type="dxa"/>
            <w:shd w:val="clear" w:color="auto" w:fill="auto"/>
          </w:tcPr>
          <w:p w14:paraId="04AC5963" w14:textId="01F523CF" w:rsidR="009A6909" w:rsidRPr="00F85679" w:rsidRDefault="009A6909" w:rsidP="009A6909">
            <w:pPr>
              <w:spacing w:after="0"/>
              <w:ind w:left="0" w:firstLine="0"/>
              <w:jc w:val="center"/>
              <w:rPr>
                <w:rFonts w:cs="Calibri"/>
                <w:sz w:val="22"/>
                <w:szCs w:val="22"/>
                <w:lang w:eastAsia="en-GB"/>
              </w:rPr>
            </w:pPr>
            <w:r w:rsidRPr="00F85679">
              <w:rPr>
                <w:rFonts w:cs="Calibri"/>
                <w:sz w:val="22"/>
                <w:szCs w:val="22"/>
                <w:lang w:eastAsia="en-GB"/>
              </w:rPr>
              <w:t>28</w:t>
            </w:r>
          </w:p>
        </w:tc>
        <w:tc>
          <w:tcPr>
            <w:tcW w:w="1247" w:type="dxa"/>
            <w:shd w:val="clear" w:color="auto" w:fill="auto"/>
          </w:tcPr>
          <w:p w14:paraId="3D13C101" w14:textId="3541EE9A" w:rsidR="009A6909" w:rsidRPr="00F85679" w:rsidRDefault="001E006C" w:rsidP="009A6909">
            <w:pPr>
              <w:spacing w:after="0"/>
              <w:ind w:left="0" w:firstLine="0"/>
              <w:jc w:val="center"/>
              <w:rPr>
                <w:rFonts w:cs="Calibri"/>
                <w:sz w:val="22"/>
                <w:szCs w:val="22"/>
                <w:lang w:eastAsia="en-GB"/>
              </w:rPr>
            </w:pPr>
            <w:r w:rsidRPr="00F85679">
              <w:rPr>
                <w:rFonts w:cs="Calibri"/>
                <w:sz w:val="22"/>
                <w:szCs w:val="22"/>
              </w:rPr>
              <w:t>5,900,720</w:t>
            </w:r>
          </w:p>
        </w:tc>
        <w:tc>
          <w:tcPr>
            <w:tcW w:w="1220" w:type="dxa"/>
            <w:shd w:val="clear" w:color="auto" w:fill="auto"/>
          </w:tcPr>
          <w:p w14:paraId="62EDCCFB" w14:textId="324F4A76" w:rsidR="009A6909" w:rsidRPr="00F85679" w:rsidRDefault="009A6909" w:rsidP="009A6909">
            <w:pPr>
              <w:spacing w:after="0"/>
              <w:ind w:left="0" w:firstLine="0"/>
              <w:jc w:val="center"/>
              <w:rPr>
                <w:rFonts w:cs="Calibri"/>
                <w:sz w:val="22"/>
                <w:szCs w:val="22"/>
                <w:lang w:eastAsia="en-GB"/>
              </w:rPr>
            </w:pPr>
            <w:r w:rsidRPr="00F85679">
              <w:rPr>
                <w:rFonts w:cs="Calibri"/>
                <w:sz w:val="22"/>
                <w:szCs w:val="22"/>
                <w:lang w:eastAsia="en-GB"/>
              </w:rPr>
              <w:t>24</w:t>
            </w:r>
          </w:p>
        </w:tc>
      </w:tr>
      <w:tr w:rsidR="002E60B9" w:rsidRPr="002E60B9" w14:paraId="1EE2172F" w14:textId="77777777" w:rsidTr="002E60B9">
        <w:tc>
          <w:tcPr>
            <w:tcW w:w="2456" w:type="dxa"/>
            <w:shd w:val="clear" w:color="auto" w:fill="auto"/>
          </w:tcPr>
          <w:p w14:paraId="6D0A4012" w14:textId="77777777" w:rsidR="009A6909" w:rsidRPr="002E60B9" w:rsidRDefault="009A6909" w:rsidP="008F6CE2">
            <w:pPr>
              <w:ind w:left="0" w:firstLine="0"/>
              <w:rPr>
                <w:b/>
                <w:sz w:val="22"/>
                <w:szCs w:val="22"/>
              </w:rPr>
            </w:pPr>
            <w:r w:rsidRPr="002E60B9">
              <w:rPr>
                <w:b/>
                <w:sz w:val="22"/>
                <w:szCs w:val="22"/>
              </w:rPr>
              <w:t>Detached</w:t>
            </w:r>
          </w:p>
        </w:tc>
        <w:tc>
          <w:tcPr>
            <w:tcW w:w="1363" w:type="dxa"/>
            <w:shd w:val="clear" w:color="auto" w:fill="auto"/>
          </w:tcPr>
          <w:p w14:paraId="15B3BB87" w14:textId="44B5345A" w:rsidR="009A6909" w:rsidRPr="00F85679" w:rsidRDefault="009A6909" w:rsidP="00171DFE">
            <w:pPr>
              <w:spacing w:after="0"/>
              <w:ind w:left="0" w:firstLine="0"/>
              <w:jc w:val="center"/>
              <w:rPr>
                <w:rFonts w:cs="Calibri"/>
                <w:sz w:val="22"/>
                <w:szCs w:val="22"/>
                <w:lang w:eastAsia="en-GB"/>
              </w:rPr>
            </w:pPr>
            <w:r w:rsidRPr="00F85679">
              <w:rPr>
                <w:rFonts w:cs="Calibri"/>
                <w:sz w:val="22"/>
                <w:szCs w:val="22"/>
              </w:rPr>
              <w:t>1</w:t>
            </w:r>
            <w:r w:rsidR="00881E3C" w:rsidRPr="00F85679">
              <w:rPr>
                <w:rFonts w:cs="Calibri"/>
                <w:sz w:val="22"/>
                <w:szCs w:val="22"/>
              </w:rPr>
              <w:t>8,410</w:t>
            </w:r>
          </w:p>
        </w:tc>
        <w:tc>
          <w:tcPr>
            <w:tcW w:w="1345" w:type="dxa"/>
            <w:shd w:val="clear" w:color="auto" w:fill="auto"/>
          </w:tcPr>
          <w:p w14:paraId="3D48DC90" w14:textId="7FE1756F" w:rsidR="009A6909" w:rsidRPr="00F85679" w:rsidRDefault="009A6909" w:rsidP="00171DFE">
            <w:pPr>
              <w:spacing w:after="0"/>
              <w:ind w:left="0" w:firstLine="0"/>
              <w:jc w:val="center"/>
              <w:rPr>
                <w:rFonts w:cs="Calibri"/>
                <w:sz w:val="22"/>
                <w:szCs w:val="22"/>
                <w:lang w:eastAsia="en-GB"/>
              </w:rPr>
            </w:pPr>
            <w:r w:rsidRPr="00F85679">
              <w:rPr>
                <w:rFonts w:cs="Calibri"/>
                <w:sz w:val="22"/>
                <w:szCs w:val="22"/>
                <w:lang w:eastAsia="en-GB"/>
              </w:rPr>
              <w:t>31</w:t>
            </w:r>
          </w:p>
        </w:tc>
        <w:tc>
          <w:tcPr>
            <w:tcW w:w="1208" w:type="dxa"/>
            <w:shd w:val="clear" w:color="auto" w:fill="auto"/>
          </w:tcPr>
          <w:p w14:paraId="69704ADC" w14:textId="68FB2F4D" w:rsidR="009A6909" w:rsidRPr="00F85679" w:rsidRDefault="00CB117E" w:rsidP="009A6909">
            <w:pPr>
              <w:spacing w:after="0"/>
              <w:ind w:left="0" w:firstLine="0"/>
              <w:jc w:val="center"/>
              <w:rPr>
                <w:rFonts w:cs="Calibri"/>
                <w:sz w:val="22"/>
                <w:szCs w:val="22"/>
                <w:lang w:eastAsia="en-GB"/>
              </w:rPr>
            </w:pPr>
            <w:r w:rsidRPr="00F85679">
              <w:rPr>
                <w:rFonts w:cs="Calibri"/>
                <w:sz w:val="22"/>
                <w:szCs w:val="22"/>
              </w:rPr>
              <w:t>61,160</w:t>
            </w:r>
          </w:p>
        </w:tc>
        <w:tc>
          <w:tcPr>
            <w:tcW w:w="1184" w:type="dxa"/>
            <w:shd w:val="clear" w:color="auto" w:fill="auto"/>
          </w:tcPr>
          <w:p w14:paraId="2F425B0D" w14:textId="17354235" w:rsidR="009A6909" w:rsidRPr="00F85679" w:rsidRDefault="009A6909" w:rsidP="009A6909">
            <w:pPr>
              <w:spacing w:after="0"/>
              <w:ind w:left="0" w:firstLine="0"/>
              <w:jc w:val="center"/>
              <w:rPr>
                <w:rFonts w:cs="Calibri"/>
                <w:sz w:val="22"/>
                <w:szCs w:val="22"/>
                <w:lang w:eastAsia="en-GB"/>
              </w:rPr>
            </w:pPr>
            <w:r w:rsidRPr="00F85679">
              <w:rPr>
                <w:rFonts w:cs="Calibri"/>
                <w:sz w:val="22"/>
                <w:szCs w:val="22"/>
                <w:lang w:eastAsia="en-GB"/>
              </w:rPr>
              <w:t>24</w:t>
            </w:r>
          </w:p>
        </w:tc>
        <w:tc>
          <w:tcPr>
            <w:tcW w:w="1247" w:type="dxa"/>
            <w:shd w:val="clear" w:color="auto" w:fill="auto"/>
          </w:tcPr>
          <w:p w14:paraId="11B8FEC5" w14:textId="25365A9F" w:rsidR="009A6909" w:rsidRPr="00F85679" w:rsidRDefault="001E006C" w:rsidP="009A6909">
            <w:pPr>
              <w:spacing w:after="0"/>
              <w:ind w:left="0" w:firstLine="0"/>
              <w:jc w:val="center"/>
              <w:rPr>
                <w:rFonts w:cs="Calibri"/>
                <w:sz w:val="22"/>
                <w:szCs w:val="22"/>
                <w:lang w:eastAsia="en-GB"/>
              </w:rPr>
            </w:pPr>
            <w:r w:rsidRPr="00F85679">
              <w:rPr>
                <w:rFonts w:cs="Calibri"/>
                <w:sz w:val="22"/>
                <w:szCs w:val="22"/>
              </w:rPr>
              <w:t>3,934,150</w:t>
            </w:r>
          </w:p>
        </w:tc>
        <w:tc>
          <w:tcPr>
            <w:tcW w:w="1220" w:type="dxa"/>
            <w:shd w:val="clear" w:color="auto" w:fill="auto"/>
          </w:tcPr>
          <w:p w14:paraId="1FABDA4A" w14:textId="3E1E8A3E" w:rsidR="009A6909" w:rsidRPr="00F85679" w:rsidRDefault="009A6909" w:rsidP="009A6909">
            <w:pPr>
              <w:spacing w:after="0"/>
              <w:ind w:left="0" w:firstLine="0"/>
              <w:jc w:val="center"/>
              <w:rPr>
                <w:rFonts w:cs="Calibri"/>
                <w:sz w:val="22"/>
                <w:szCs w:val="22"/>
                <w:lang w:eastAsia="en-GB"/>
              </w:rPr>
            </w:pPr>
            <w:r w:rsidRPr="00F85679">
              <w:rPr>
                <w:rFonts w:cs="Calibri"/>
                <w:sz w:val="22"/>
                <w:szCs w:val="22"/>
                <w:lang w:eastAsia="en-GB"/>
              </w:rPr>
              <w:t>16</w:t>
            </w:r>
          </w:p>
        </w:tc>
      </w:tr>
    </w:tbl>
    <w:p w14:paraId="358E9D5B" w14:textId="77777777" w:rsidR="006251A2" w:rsidRPr="000C2EB7" w:rsidRDefault="006251A2" w:rsidP="009257F5">
      <w:pPr>
        <w:pStyle w:val="NoSpacing"/>
      </w:pPr>
    </w:p>
    <w:p w14:paraId="3793F934" w14:textId="547A2F49" w:rsidR="007E04EC" w:rsidRPr="00E55171" w:rsidRDefault="00806281" w:rsidP="00610EF3">
      <w:pPr>
        <w:pStyle w:val="ListParagraph"/>
        <w:numPr>
          <w:ilvl w:val="1"/>
          <w:numId w:val="20"/>
        </w:numPr>
        <w:contextualSpacing w:val="0"/>
        <w:jc w:val="left"/>
        <w:rPr>
          <w:b/>
          <w:i/>
          <w:iCs/>
          <w:sz w:val="22"/>
          <w:szCs w:val="22"/>
        </w:rPr>
      </w:pPr>
      <w:r w:rsidRPr="00E55171">
        <w:rPr>
          <w:b/>
          <w:i/>
          <w:iCs/>
          <w:sz w:val="22"/>
          <w:szCs w:val="22"/>
        </w:rPr>
        <w:t>House Prices</w:t>
      </w:r>
      <w:r w:rsidR="003036DD" w:rsidRPr="00E55171">
        <w:rPr>
          <w:b/>
          <w:i/>
          <w:iCs/>
          <w:sz w:val="22"/>
          <w:szCs w:val="22"/>
        </w:rPr>
        <w:t xml:space="preserve"> </w:t>
      </w:r>
    </w:p>
    <w:p w14:paraId="553B3025" w14:textId="1C3A8E48" w:rsidR="00837EFD" w:rsidRPr="00610EF3" w:rsidRDefault="00C57B5C" w:rsidP="00610EF3">
      <w:pPr>
        <w:pStyle w:val="ListParagraph"/>
        <w:numPr>
          <w:ilvl w:val="3"/>
          <w:numId w:val="20"/>
        </w:numPr>
        <w:ind w:left="709" w:right="421" w:hanging="709"/>
        <w:contextualSpacing w:val="0"/>
        <w:jc w:val="left"/>
        <w:rPr>
          <w:sz w:val="22"/>
          <w:szCs w:val="22"/>
        </w:rPr>
      </w:pPr>
      <w:r w:rsidRPr="00837EFD">
        <w:rPr>
          <w:sz w:val="22"/>
          <w:szCs w:val="22"/>
        </w:rPr>
        <w:t xml:space="preserve">The median house price for the </w:t>
      </w:r>
      <w:r w:rsidR="001D61F1" w:rsidRPr="00837EFD">
        <w:rPr>
          <w:sz w:val="22"/>
          <w:szCs w:val="22"/>
        </w:rPr>
        <w:t>District</w:t>
      </w:r>
      <w:r w:rsidR="00FF3A86" w:rsidRPr="00837EFD">
        <w:rPr>
          <w:sz w:val="22"/>
          <w:szCs w:val="22"/>
        </w:rPr>
        <w:t xml:space="preserve"> was £3</w:t>
      </w:r>
      <w:r w:rsidR="006251A2" w:rsidRPr="00837EFD">
        <w:rPr>
          <w:sz w:val="22"/>
          <w:szCs w:val="22"/>
        </w:rPr>
        <w:t>40</w:t>
      </w:r>
      <w:r w:rsidRPr="00837EFD">
        <w:rPr>
          <w:sz w:val="22"/>
          <w:szCs w:val="22"/>
        </w:rPr>
        <w:t>,000 in the year ending Decem</w:t>
      </w:r>
      <w:r w:rsidR="00FF3A86" w:rsidRPr="00837EFD">
        <w:rPr>
          <w:sz w:val="22"/>
          <w:szCs w:val="22"/>
        </w:rPr>
        <w:t>ber 202</w:t>
      </w:r>
      <w:r w:rsidR="006251A2" w:rsidRPr="00837EFD">
        <w:rPr>
          <w:sz w:val="22"/>
          <w:szCs w:val="22"/>
        </w:rPr>
        <w:t>1</w:t>
      </w:r>
      <w:r w:rsidR="009A4233" w:rsidRPr="00837EFD">
        <w:rPr>
          <w:sz w:val="22"/>
          <w:szCs w:val="22"/>
        </w:rPr>
        <w:t xml:space="preserve">, well above the England </w:t>
      </w:r>
      <w:r w:rsidR="002F41EF" w:rsidRPr="00837EFD">
        <w:rPr>
          <w:sz w:val="22"/>
          <w:szCs w:val="22"/>
        </w:rPr>
        <w:t xml:space="preserve">and Warwickshire </w:t>
      </w:r>
      <w:r w:rsidR="009A4233" w:rsidRPr="00837EFD">
        <w:rPr>
          <w:sz w:val="22"/>
          <w:szCs w:val="22"/>
        </w:rPr>
        <w:t>media</w:t>
      </w:r>
      <w:r w:rsidR="00FF3A86" w:rsidRPr="00837EFD">
        <w:rPr>
          <w:sz w:val="22"/>
          <w:szCs w:val="22"/>
        </w:rPr>
        <w:t xml:space="preserve">n of </w:t>
      </w:r>
      <w:r w:rsidR="002F41EF" w:rsidRPr="00837EFD">
        <w:rPr>
          <w:sz w:val="22"/>
          <w:szCs w:val="22"/>
        </w:rPr>
        <w:t>£280,000.</w:t>
      </w:r>
      <w:r w:rsidR="002F41EF" w:rsidRPr="005E42ED">
        <w:rPr>
          <w:rStyle w:val="EndnoteReference"/>
          <w:sz w:val="22"/>
          <w:szCs w:val="22"/>
        </w:rPr>
        <w:endnoteReference w:id="8"/>
      </w:r>
    </w:p>
    <w:p w14:paraId="7C4A51E2" w14:textId="5908D2B0" w:rsidR="00837EFD" w:rsidRPr="00610EF3" w:rsidRDefault="00951F45" w:rsidP="00610EF3">
      <w:pPr>
        <w:pStyle w:val="ListParagraph"/>
        <w:numPr>
          <w:ilvl w:val="3"/>
          <w:numId w:val="20"/>
        </w:numPr>
        <w:ind w:left="709" w:right="421" w:hanging="709"/>
        <w:contextualSpacing w:val="0"/>
        <w:jc w:val="left"/>
        <w:rPr>
          <w:sz w:val="22"/>
          <w:szCs w:val="22"/>
        </w:rPr>
      </w:pPr>
      <w:r w:rsidRPr="00837EFD">
        <w:rPr>
          <w:sz w:val="22"/>
          <w:szCs w:val="22"/>
        </w:rPr>
        <w:t xml:space="preserve">The median </w:t>
      </w:r>
      <w:r w:rsidR="009A4233" w:rsidRPr="00837EFD">
        <w:rPr>
          <w:sz w:val="22"/>
          <w:szCs w:val="22"/>
        </w:rPr>
        <w:t xml:space="preserve">house price in the </w:t>
      </w:r>
      <w:r w:rsidR="001D61F1" w:rsidRPr="00837EFD">
        <w:rPr>
          <w:sz w:val="22"/>
          <w:szCs w:val="22"/>
        </w:rPr>
        <w:t>District</w:t>
      </w:r>
      <w:r w:rsidR="00FF3A86" w:rsidRPr="00837EFD">
        <w:rPr>
          <w:sz w:val="22"/>
          <w:szCs w:val="22"/>
        </w:rPr>
        <w:t xml:space="preserve"> has risen £</w:t>
      </w:r>
      <w:r w:rsidR="00354739" w:rsidRPr="00837EFD">
        <w:rPr>
          <w:sz w:val="22"/>
          <w:szCs w:val="22"/>
        </w:rPr>
        <w:t>90</w:t>
      </w:r>
      <w:r w:rsidR="00FF3A86" w:rsidRPr="00837EFD">
        <w:rPr>
          <w:sz w:val="22"/>
          <w:szCs w:val="22"/>
        </w:rPr>
        <w:t>,000 or 3</w:t>
      </w:r>
      <w:r w:rsidR="005E42ED" w:rsidRPr="00837EFD">
        <w:rPr>
          <w:sz w:val="22"/>
          <w:szCs w:val="22"/>
        </w:rPr>
        <w:t>6</w:t>
      </w:r>
      <w:r w:rsidR="009A4233" w:rsidRPr="00837EFD">
        <w:rPr>
          <w:sz w:val="22"/>
          <w:szCs w:val="22"/>
        </w:rPr>
        <w:t xml:space="preserve">% </w:t>
      </w:r>
      <w:r w:rsidRPr="00837EFD">
        <w:rPr>
          <w:sz w:val="22"/>
          <w:szCs w:val="22"/>
        </w:rPr>
        <w:t xml:space="preserve">over </w:t>
      </w:r>
      <w:r w:rsidR="00FF3A86" w:rsidRPr="00837EFD">
        <w:rPr>
          <w:sz w:val="22"/>
          <w:szCs w:val="22"/>
        </w:rPr>
        <w:t>six</w:t>
      </w:r>
      <w:r w:rsidRPr="00837EFD">
        <w:rPr>
          <w:sz w:val="22"/>
          <w:szCs w:val="22"/>
        </w:rPr>
        <w:t xml:space="preserve"> years </w:t>
      </w:r>
      <w:r w:rsidR="009A4233" w:rsidRPr="00837EFD">
        <w:rPr>
          <w:sz w:val="22"/>
          <w:szCs w:val="22"/>
        </w:rPr>
        <w:t xml:space="preserve">since the year ending December 2014. </w:t>
      </w:r>
    </w:p>
    <w:p w14:paraId="27BC856F" w14:textId="6508B73A" w:rsidR="00837EFD" w:rsidRPr="00610EF3" w:rsidRDefault="00A521A2" w:rsidP="00610EF3">
      <w:pPr>
        <w:pStyle w:val="ListParagraph"/>
        <w:numPr>
          <w:ilvl w:val="3"/>
          <w:numId w:val="20"/>
        </w:numPr>
        <w:ind w:left="709" w:right="421" w:hanging="709"/>
        <w:contextualSpacing w:val="0"/>
        <w:jc w:val="left"/>
        <w:rPr>
          <w:sz w:val="22"/>
          <w:szCs w:val="22"/>
        </w:rPr>
      </w:pPr>
      <w:r w:rsidRPr="00837EFD">
        <w:rPr>
          <w:sz w:val="22"/>
          <w:szCs w:val="22"/>
        </w:rPr>
        <w:t xml:space="preserve">The lower quartile house price for the </w:t>
      </w:r>
      <w:r w:rsidR="001D61F1" w:rsidRPr="00837EFD">
        <w:rPr>
          <w:sz w:val="22"/>
          <w:szCs w:val="22"/>
        </w:rPr>
        <w:t>District</w:t>
      </w:r>
      <w:r w:rsidR="009237C0" w:rsidRPr="00837EFD">
        <w:rPr>
          <w:sz w:val="22"/>
          <w:szCs w:val="22"/>
        </w:rPr>
        <w:t xml:space="preserve"> in December 20</w:t>
      </w:r>
      <w:r w:rsidR="00242CBD">
        <w:rPr>
          <w:sz w:val="22"/>
          <w:szCs w:val="22"/>
        </w:rPr>
        <w:t>21</w:t>
      </w:r>
      <w:r w:rsidR="009237C0" w:rsidRPr="00837EFD">
        <w:rPr>
          <w:sz w:val="22"/>
          <w:szCs w:val="22"/>
        </w:rPr>
        <w:t xml:space="preserve"> was £2</w:t>
      </w:r>
      <w:r w:rsidR="00724089" w:rsidRPr="00837EFD">
        <w:rPr>
          <w:sz w:val="22"/>
          <w:szCs w:val="22"/>
        </w:rPr>
        <w:t>54</w:t>
      </w:r>
      <w:r w:rsidRPr="00837EFD">
        <w:rPr>
          <w:sz w:val="22"/>
          <w:szCs w:val="22"/>
        </w:rPr>
        <w:t>,000</w:t>
      </w:r>
      <w:r w:rsidR="000F293A" w:rsidRPr="00837EFD">
        <w:rPr>
          <w:sz w:val="22"/>
          <w:szCs w:val="22"/>
        </w:rPr>
        <w:t xml:space="preserve"> (25% </w:t>
      </w:r>
      <w:r w:rsidR="002D3A18" w:rsidRPr="00837EFD">
        <w:rPr>
          <w:sz w:val="22"/>
          <w:szCs w:val="22"/>
        </w:rPr>
        <w:t xml:space="preserve">of </w:t>
      </w:r>
      <w:r w:rsidR="000F293A" w:rsidRPr="00837EFD">
        <w:rPr>
          <w:sz w:val="22"/>
          <w:szCs w:val="22"/>
        </w:rPr>
        <w:t>houses were</w:t>
      </w:r>
      <w:r w:rsidR="00257D90" w:rsidRPr="00837EFD">
        <w:rPr>
          <w:sz w:val="22"/>
          <w:szCs w:val="22"/>
        </w:rPr>
        <w:t xml:space="preserve"> below this price, 75% above)</w:t>
      </w:r>
      <w:r w:rsidRPr="00837EFD">
        <w:rPr>
          <w:sz w:val="22"/>
          <w:szCs w:val="22"/>
        </w:rPr>
        <w:t>. This is higher than the lo</w:t>
      </w:r>
      <w:r w:rsidR="0044240B" w:rsidRPr="00837EFD">
        <w:rPr>
          <w:sz w:val="22"/>
          <w:szCs w:val="22"/>
        </w:rPr>
        <w:t>wer quartile for England of £1</w:t>
      </w:r>
      <w:r w:rsidR="005B0D66" w:rsidRPr="00837EFD">
        <w:rPr>
          <w:sz w:val="22"/>
          <w:szCs w:val="22"/>
        </w:rPr>
        <w:t>85</w:t>
      </w:r>
      <w:r w:rsidRPr="00837EFD">
        <w:rPr>
          <w:sz w:val="22"/>
          <w:szCs w:val="22"/>
        </w:rPr>
        <w:t>,000, and that for Wa</w:t>
      </w:r>
      <w:r w:rsidR="0044240B" w:rsidRPr="00837EFD">
        <w:rPr>
          <w:sz w:val="22"/>
          <w:szCs w:val="22"/>
        </w:rPr>
        <w:t>rwickshire of £</w:t>
      </w:r>
      <w:r w:rsidR="005B0D66" w:rsidRPr="00837EFD">
        <w:rPr>
          <w:sz w:val="22"/>
          <w:szCs w:val="22"/>
        </w:rPr>
        <w:t>205</w:t>
      </w:r>
      <w:r w:rsidRPr="00837EFD">
        <w:rPr>
          <w:sz w:val="22"/>
          <w:szCs w:val="22"/>
        </w:rPr>
        <w:t>,000.</w:t>
      </w:r>
      <w:r w:rsidR="005B0D66" w:rsidRPr="00926C59">
        <w:rPr>
          <w:rStyle w:val="EndnoteReference"/>
          <w:sz w:val="22"/>
          <w:szCs w:val="22"/>
        </w:rPr>
        <w:endnoteReference w:id="9"/>
      </w:r>
      <w:r w:rsidRPr="00837EFD">
        <w:rPr>
          <w:sz w:val="22"/>
          <w:szCs w:val="22"/>
        </w:rPr>
        <w:t xml:space="preserve"> </w:t>
      </w:r>
    </w:p>
    <w:p w14:paraId="2C052BEE" w14:textId="5AF55AA3" w:rsidR="00CB645C" w:rsidRDefault="00806281" w:rsidP="0019692F">
      <w:pPr>
        <w:pStyle w:val="ListParagraph"/>
        <w:numPr>
          <w:ilvl w:val="3"/>
          <w:numId w:val="20"/>
        </w:numPr>
        <w:ind w:left="709" w:right="421" w:hanging="709"/>
        <w:contextualSpacing w:val="0"/>
        <w:jc w:val="left"/>
        <w:rPr>
          <w:sz w:val="22"/>
          <w:szCs w:val="22"/>
        </w:rPr>
      </w:pPr>
      <w:r w:rsidRPr="00837EFD">
        <w:rPr>
          <w:sz w:val="22"/>
          <w:szCs w:val="22"/>
        </w:rPr>
        <w:t xml:space="preserve">The </w:t>
      </w:r>
      <w:r w:rsidR="00E455AE" w:rsidRPr="00837EFD">
        <w:rPr>
          <w:sz w:val="22"/>
          <w:szCs w:val="22"/>
        </w:rPr>
        <w:t>tenth percent</w:t>
      </w:r>
      <w:r w:rsidRPr="00837EFD">
        <w:rPr>
          <w:sz w:val="22"/>
          <w:szCs w:val="22"/>
        </w:rPr>
        <w:t xml:space="preserve">ile price for the </w:t>
      </w:r>
      <w:r w:rsidR="001D61F1" w:rsidRPr="00837EFD">
        <w:rPr>
          <w:sz w:val="22"/>
          <w:szCs w:val="22"/>
        </w:rPr>
        <w:t>District</w:t>
      </w:r>
      <w:r w:rsidRPr="00837EFD">
        <w:rPr>
          <w:sz w:val="22"/>
          <w:szCs w:val="22"/>
        </w:rPr>
        <w:t xml:space="preserve"> </w:t>
      </w:r>
      <w:r w:rsidR="00D21238" w:rsidRPr="00837EFD">
        <w:rPr>
          <w:sz w:val="22"/>
          <w:szCs w:val="22"/>
        </w:rPr>
        <w:t xml:space="preserve">in March 2022 </w:t>
      </w:r>
      <w:r w:rsidR="00E455AE" w:rsidRPr="00837EFD">
        <w:rPr>
          <w:sz w:val="22"/>
          <w:szCs w:val="22"/>
        </w:rPr>
        <w:t>was £18</w:t>
      </w:r>
      <w:r w:rsidR="001D0DA0" w:rsidRPr="00837EFD">
        <w:rPr>
          <w:sz w:val="22"/>
          <w:szCs w:val="22"/>
        </w:rPr>
        <w:t>6,5</w:t>
      </w:r>
      <w:r w:rsidR="00E455AE" w:rsidRPr="00837EFD">
        <w:rPr>
          <w:sz w:val="22"/>
          <w:szCs w:val="22"/>
        </w:rPr>
        <w:t xml:space="preserve">00 </w:t>
      </w:r>
      <w:r w:rsidRPr="00837EFD">
        <w:rPr>
          <w:sz w:val="22"/>
          <w:szCs w:val="22"/>
        </w:rPr>
        <w:t>(</w:t>
      </w:r>
      <w:r w:rsidR="00E455AE" w:rsidRPr="00837EFD">
        <w:rPr>
          <w:sz w:val="22"/>
          <w:szCs w:val="22"/>
        </w:rPr>
        <w:t>10%</w:t>
      </w:r>
      <w:r w:rsidR="002D3A18" w:rsidRPr="00837EFD">
        <w:rPr>
          <w:sz w:val="22"/>
          <w:szCs w:val="22"/>
        </w:rPr>
        <w:t xml:space="preserve"> of</w:t>
      </w:r>
      <w:r w:rsidR="00E455AE" w:rsidRPr="00837EFD">
        <w:rPr>
          <w:sz w:val="22"/>
          <w:szCs w:val="22"/>
        </w:rPr>
        <w:t xml:space="preserve"> houses were below this price, 90% above). This </w:t>
      </w:r>
      <w:r w:rsidR="0044240B" w:rsidRPr="00837EFD">
        <w:rPr>
          <w:sz w:val="22"/>
          <w:szCs w:val="22"/>
        </w:rPr>
        <w:t>is higher than</w:t>
      </w:r>
      <w:r w:rsidR="00E455AE" w:rsidRPr="00837EFD">
        <w:rPr>
          <w:sz w:val="22"/>
          <w:szCs w:val="22"/>
        </w:rPr>
        <w:t xml:space="preserve"> the tenth percentile price of £1</w:t>
      </w:r>
      <w:r w:rsidR="00D21238" w:rsidRPr="00837EFD">
        <w:rPr>
          <w:sz w:val="22"/>
          <w:szCs w:val="22"/>
        </w:rPr>
        <w:t>25</w:t>
      </w:r>
      <w:r w:rsidR="0044240B" w:rsidRPr="00837EFD">
        <w:rPr>
          <w:sz w:val="22"/>
          <w:szCs w:val="22"/>
        </w:rPr>
        <w:t>,000 for England and £1</w:t>
      </w:r>
      <w:r w:rsidR="00D21238" w:rsidRPr="00837EFD">
        <w:rPr>
          <w:sz w:val="22"/>
          <w:szCs w:val="22"/>
        </w:rPr>
        <w:t>52</w:t>
      </w:r>
      <w:r w:rsidR="00E455AE" w:rsidRPr="00837EFD">
        <w:rPr>
          <w:sz w:val="22"/>
          <w:szCs w:val="22"/>
        </w:rPr>
        <w:t>,000 for Warwickshire</w:t>
      </w:r>
      <w:r w:rsidR="00D21238" w:rsidRPr="00D21238">
        <w:rPr>
          <w:rStyle w:val="EndnoteReference"/>
          <w:sz w:val="22"/>
          <w:szCs w:val="22"/>
        </w:rPr>
        <w:endnoteReference w:id="10"/>
      </w:r>
      <w:r w:rsidR="00E455AE" w:rsidRPr="00837EFD">
        <w:rPr>
          <w:sz w:val="22"/>
          <w:szCs w:val="22"/>
        </w:rPr>
        <w:t>.</w:t>
      </w:r>
    </w:p>
    <w:p w14:paraId="11A31215" w14:textId="77777777" w:rsidR="00CB645C" w:rsidRDefault="00CB645C">
      <w:pPr>
        <w:spacing w:after="0"/>
        <w:ind w:left="0" w:firstLine="0"/>
        <w:jc w:val="left"/>
        <w:rPr>
          <w:sz w:val="22"/>
          <w:szCs w:val="22"/>
        </w:rPr>
      </w:pPr>
      <w:r>
        <w:rPr>
          <w:sz w:val="22"/>
          <w:szCs w:val="22"/>
        </w:rPr>
        <w:br w:type="page"/>
      </w:r>
    </w:p>
    <w:p w14:paraId="663FE5ED" w14:textId="3BCB13C3" w:rsidR="0019692F" w:rsidRDefault="009A2A6B" w:rsidP="0019692F">
      <w:pPr>
        <w:pStyle w:val="ListParagraph"/>
        <w:keepNext/>
        <w:numPr>
          <w:ilvl w:val="3"/>
          <w:numId w:val="20"/>
        </w:numPr>
        <w:ind w:left="709" w:right="421" w:hanging="709"/>
        <w:contextualSpacing w:val="0"/>
        <w:jc w:val="left"/>
        <w:rPr>
          <w:sz w:val="22"/>
          <w:szCs w:val="22"/>
        </w:rPr>
      </w:pPr>
      <w:r w:rsidRPr="0019692F">
        <w:rPr>
          <w:sz w:val="22"/>
          <w:szCs w:val="22"/>
        </w:rPr>
        <w:lastRenderedPageBreak/>
        <w:t xml:space="preserve">Figure </w:t>
      </w:r>
      <w:r w:rsidR="00D21238" w:rsidRPr="0019692F">
        <w:rPr>
          <w:sz w:val="22"/>
          <w:szCs w:val="22"/>
        </w:rPr>
        <w:t>6</w:t>
      </w:r>
      <w:r w:rsidR="00951F45" w:rsidRPr="0019692F">
        <w:rPr>
          <w:sz w:val="22"/>
          <w:szCs w:val="22"/>
        </w:rPr>
        <w:t xml:space="preserve"> shows the median house prices for different house types within the </w:t>
      </w:r>
      <w:r w:rsidR="001D61F1" w:rsidRPr="0019692F">
        <w:rPr>
          <w:sz w:val="22"/>
          <w:szCs w:val="22"/>
        </w:rPr>
        <w:t>District</w:t>
      </w:r>
      <w:r w:rsidR="00951F45" w:rsidRPr="0019692F">
        <w:rPr>
          <w:sz w:val="22"/>
          <w:szCs w:val="22"/>
        </w:rPr>
        <w:t xml:space="preserve"> and the average for Warwickshire and England</w:t>
      </w:r>
      <w:r w:rsidR="00F25AF9">
        <w:rPr>
          <w:rStyle w:val="EndnoteReference"/>
          <w:sz w:val="22"/>
          <w:szCs w:val="22"/>
        </w:rPr>
        <w:endnoteReference w:id="11"/>
      </w:r>
      <w:r w:rsidR="00951F45" w:rsidRPr="0019692F">
        <w:rPr>
          <w:sz w:val="22"/>
          <w:szCs w:val="22"/>
        </w:rPr>
        <w:t>.</w:t>
      </w:r>
      <w:r w:rsidRPr="0019692F">
        <w:rPr>
          <w:sz w:val="22"/>
          <w:szCs w:val="22"/>
        </w:rPr>
        <w:t xml:space="preserve"> The median detached price in Stratford-on-Avon is </w:t>
      </w:r>
      <w:r w:rsidR="004E0017" w:rsidRPr="0019692F">
        <w:rPr>
          <w:sz w:val="22"/>
          <w:szCs w:val="22"/>
        </w:rPr>
        <w:t>23.75</w:t>
      </w:r>
      <w:r w:rsidRPr="0019692F">
        <w:rPr>
          <w:sz w:val="22"/>
          <w:szCs w:val="22"/>
        </w:rPr>
        <w:t>% higher than the England average and</w:t>
      </w:r>
      <w:r w:rsidR="004E0017" w:rsidRPr="0019692F">
        <w:rPr>
          <w:sz w:val="22"/>
          <w:szCs w:val="22"/>
        </w:rPr>
        <w:t xml:space="preserve"> 20.7</w:t>
      </w:r>
      <w:r w:rsidRPr="0019692F">
        <w:rPr>
          <w:sz w:val="22"/>
          <w:szCs w:val="22"/>
        </w:rPr>
        <w:t>% higher than the Warwickshire average.</w:t>
      </w:r>
      <w:r w:rsidR="00951F45" w:rsidRPr="0019692F">
        <w:rPr>
          <w:sz w:val="22"/>
          <w:szCs w:val="22"/>
        </w:rPr>
        <w:t xml:space="preserve"> The median </w:t>
      </w:r>
      <w:r w:rsidRPr="0019692F">
        <w:rPr>
          <w:sz w:val="22"/>
          <w:szCs w:val="22"/>
        </w:rPr>
        <w:t xml:space="preserve">semi-detached price is </w:t>
      </w:r>
      <w:r w:rsidR="00450295" w:rsidRPr="0019692F">
        <w:rPr>
          <w:sz w:val="22"/>
          <w:szCs w:val="22"/>
        </w:rPr>
        <w:t>19</w:t>
      </w:r>
      <w:r w:rsidR="00951F45" w:rsidRPr="0019692F">
        <w:rPr>
          <w:sz w:val="22"/>
          <w:szCs w:val="22"/>
        </w:rPr>
        <w:t>% higher than the England average, and 1</w:t>
      </w:r>
      <w:r w:rsidR="00450295" w:rsidRPr="0019692F">
        <w:rPr>
          <w:sz w:val="22"/>
          <w:szCs w:val="22"/>
        </w:rPr>
        <w:t>5</w:t>
      </w:r>
      <w:r w:rsidR="00951F45" w:rsidRPr="0019692F">
        <w:rPr>
          <w:sz w:val="22"/>
          <w:szCs w:val="22"/>
        </w:rPr>
        <w:t xml:space="preserve">% </w:t>
      </w:r>
      <w:r w:rsidR="0019692F">
        <w:rPr>
          <w:sz w:val="22"/>
          <w:szCs w:val="22"/>
        </w:rPr>
        <w:t>a</w:t>
      </w:r>
      <w:r w:rsidR="00951F45" w:rsidRPr="0019692F">
        <w:rPr>
          <w:sz w:val="22"/>
          <w:szCs w:val="22"/>
        </w:rPr>
        <w:t>bove the Warwickshire</w:t>
      </w:r>
      <w:r w:rsidRPr="0019692F">
        <w:rPr>
          <w:sz w:val="22"/>
          <w:szCs w:val="22"/>
        </w:rPr>
        <w:t xml:space="preserve"> average. Terraced houses are </w:t>
      </w:r>
      <w:r w:rsidR="00B00469" w:rsidRPr="0019692F">
        <w:rPr>
          <w:sz w:val="22"/>
          <w:szCs w:val="22"/>
        </w:rPr>
        <w:t>14</w:t>
      </w:r>
      <w:r w:rsidR="00951F45" w:rsidRPr="0019692F">
        <w:rPr>
          <w:sz w:val="22"/>
          <w:szCs w:val="22"/>
        </w:rPr>
        <w:t>% abo</w:t>
      </w:r>
      <w:r w:rsidRPr="0019692F">
        <w:rPr>
          <w:sz w:val="22"/>
          <w:szCs w:val="22"/>
        </w:rPr>
        <w:t>ve the England average, and 18</w:t>
      </w:r>
      <w:r w:rsidR="00951F45" w:rsidRPr="0019692F">
        <w:rPr>
          <w:sz w:val="22"/>
          <w:szCs w:val="22"/>
        </w:rPr>
        <w:t xml:space="preserve">% above the Warwickshire average. </w:t>
      </w:r>
    </w:p>
    <w:p w14:paraId="52A25CC2" w14:textId="577BE9D2" w:rsidR="00FF2AA8" w:rsidRPr="0019692F" w:rsidRDefault="002B0476" w:rsidP="0019692F">
      <w:pPr>
        <w:pStyle w:val="ListParagraph"/>
        <w:keepNext/>
        <w:ind w:left="1429" w:right="421" w:firstLine="0"/>
        <w:contextualSpacing w:val="0"/>
        <w:jc w:val="left"/>
        <w:rPr>
          <w:sz w:val="22"/>
          <w:szCs w:val="22"/>
        </w:rPr>
      </w:pPr>
      <w:r w:rsidRPr="0019692F">
        <w:rPr>
          <w:sz w:val="22"/>
          <w:szCs w:val="22"/>
        </w:rPr>
        <w:t>Figure 6</w:t>
      </w:r>
    </w:p>
    <w:p w14:paraId="775025B0" w14:textId="3D26C65A" w:rsidR="00E27EE9" w:rsidRPr="00E27EE9" w:rsidRDefault="00E27EE9" w:rsidP="00E51A45">
      <w:pPr>
        <w:jc w:val="center"/>
      </w:pPr>
      <w:r>
        <w:rPr>
          <w:noProof/>
        </w:rPr>
        <w:drawing>
          <wp:inline distT="0" distB="0" distL="0" distR="0" wp14:anchorId="1352C483" wp14:editId="23FD4354">
            <wp:extent cx="5909241" cy="355209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21407" cy="3559405"/>
                    </a:xfrm>
                    <a:prstGeom prst="rect">
                      <a:avLst/>
                    </a:prstGeom>
                    <a:noFill/>
                  </pic:spPr>
                </pic:pic>
              </a:graphicData>
            </a:graphic>
          </wp:inline>
        </w:drawing>
      </w:r>
    </w:p>
    <w:p w14:paraId="275D5635" w14:textId="77777777" w:rsidR="00F85679" w:rsidRPr="00022B87" w:rsidRDefault="00F85679" w:rsidP="00F85679">
      <w:pPr>
        <w:pStyle w:val="NoSpacing"/>
        <w:rPr>
          <w:sz w:val="16"/>
          <w:szCs w:val="16"/>
        </w:rPr>
      </w:pPr>
    </w:p>
    <w:p w14:paraId="1DC934E3" w14:textId="3A353C76" w:rsidR="008112A9" w:rsidRPr="00AC7BD8" w:rsidRDefault="008112A9" w:rsidP="00AC7BD8">
      <w:pPr>
        <w:pStyle w:val="Caption"/>
        <w:keepNext/>
        <w:ind w:firstLine="0"/>
        <w:rPr>
          <w:i w:val="0"/>
          <w:iCs w:val="0"/>
          <w:color w:val="auto"/>
          <w:sz w:val="22"/>
          <w:szCs w:val="22"/>
        </w:rPr>
      </w:pPr>
      <w:r w:rsidRPr="00AC7BD8">
        <w:rPr>
          <w:i w:val="0"/>
          <w:iCs w:val="0"/>
          <w:color w:val="auto"/>
          <w:sz w:val="22"/>
          <w:szCs w:val="22"/>
        </w:rPr>
        <w:t xml:space="preserve">Table </w:t>
      </w:r>
      <w:r w:rsidRPr="00AC7BD8">
        <w:rPr>
          <w:i w:val="0"/>
          <w:iCs w:val="0"/>
          <w:color w:val="auto"/>
          <w:sz w:val="22"/>
          <w:szCs w:val="22"/>
        </w:rPr>
        <w:fldChar w:fldCharType="begin"/>
      </w:r>
      <w:r w:rsidRPr="00AC7BD8">
        <w:rPr>
          <w:i w:val="0"/>
          <w:iCs w:val="0"/>
          <w:color w:val="auto"/>
          <w:sz w:val="22"/>
          <w:szCs w:val="22"/>
        </w:rPr>
        <w:instrText xml:space="preserve"> SEQ Table \* ARABIC </w:instrText>
      </w:r>
      <w:r w:rsidRPr="00AC7BD8">
        <w:rPr>
          <w:i w:val="0"/>
          <w:iCs w:val="0"/>
          <w:color w:val="auto"/>
          <w:sz w:val="22"/>
          <w:szCs w:val="22"/>
        </w:rPr>
        <w:fldChar w:fldCharType="separate"/>
      </w:r>
      <w:r w:rsidR="00E94700" w:rsidRPr="00AC7BD8">
        <w:rPr>
          <w:i w:val="0"/>
          <w:iCs w:val="0"/>
          <w:noProof/>
          <w:color w:val="auto"/>
          <w:sz w:val="22"/>
          <w:szCs w:val="22"/>
        </w:rPr>
        <w:t>2</w:t>
      </w:r>
      <w:r w:rsidRPr="00AC7BD8">
        <w:rPr>
          <w:i w:val="0"/>
          <w:iCs w:val="0"/>
          <w:color w:val="auto"/>
          <w:sz w:val="22"/>
          <w:szCs w:val="22"/>
        </w:rPr>
        <w:fldChar w:fldCharType="end"/>
      </w:r>
      <w:r w:rsidRPr="00AC7BD8">
        <w:rPr>
          <w:i w:val="0"/>
          <w:iCs w:val="0"/>
          <w:color w:val="auto"/>
          <w:sz w:val="22"/>
          <w:szCs w:val="22"/>
        </w:rPr>
        <w:t>: Median house price by dwelling type December 2021</w:t>
      </w:r>
    </w:p>
    <w:tbl>
      <w:tblPr>
        <w:tblStyle w:val="TableGrid"/>
        <w:tblW w:w="10349" w:type="dxa"/>
        <w:tblInd w:w="-43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56"/>
        <w:gridCol w:w="2477"/>
        <w:gridCol w:w="2864"/>
        <w:gridCol w:w="2552"/>
      </w:tblGrid>
      <w:tr w:rsidR="00B97DCC" w:rsidRPr="008112A9" w14:paraId="5593FE00" w14:textId="74A10CC9" w:rsidTr="00B97DCC">
        <w:tc>
          <w:tcPr>
            <w:tcW w:w="0" w:type="auto"/>
          </w:tcPr>
          <w:p w14:paraId="31F45A13" w14:textId="77777777" w:rsidR="00B97DCC" w:rsidRPr="008112A9" w:rsidRDefault="00B97DCC" w:rsidP="00192C0E">
            <w:pPr>
              <w:ind w:left="0" w:firstLine="0"/>
              <w:rPr>
                <w:sz w:val="22"/>
                <w:szCs w:val="22"/>
              </w:rPr>
            </w:pPr>
          </w:p>
        </w:tc>
        <w:tc>
          <w:tcPr>
            <w:tcW w:w="0" w:type="auto"/>
          </w:tcPr>
          <w:p w14:paraId="063056F5" w14:textId="20ACCC30" w:rsidR="00B97DCC" w:rsidRPr="008112A9" w:rsidRDefault="00B97DCC" w:rsidP="009A2A6B">
            <w:pPr>
              <w:ind w:left="0" w:firstLine="0"/>
              <w:jc w:val="center"/>
              <w:rPr>
                <w:b/>
                <w:sz w:val="22"/>
                <w:szCs w:val="22"/>
              </w:rPr>
            </w:pPr>
            <w:r w:rsidRPr="008112A9">
              <w:rPr>
                <w:b/>
                <w:sz w:val="22"/>
                <w:szCs w:val="22"/>
              </w:rPr>
              <w:t>Stratford-on-Avon</w:t>
            </w:r>
          </w:p>
        </w:tc>
        <w:tc>
          <w:tcPr>
            <w:tcW w:w="2864" w:type="dxa"/>
          </w:tcPr>
          <w:p w14:paraId="0784B67F" w14:textId="7A9B07EC" w:rsidR="00B97DCC" w:rsidRPr="008112A9" w:rsidRDefault="00B97DCC" w:rsidP="009A2A6B">
            <w:pPr>
              <w:ind w:left="0" w:firstLine="0"/>
              <w:jc w:val="center"/>
              <w:rPr>
                <w:b/>
                <w:sz w:val="22"/>
                <w:szCs w:val="22"/>
              </w:rPr>
            </w:pPr>
            <w:r w:rsidRPr="008112A9">
              <w:rPr>
                <w:b/>
                <w:sz w:val="22"/>
                <w:szCs w:val="22"/>
              </w:rPr>
              <w:t>Warwickshire</w:t>
            </w:r>
          </w:p>
        </w:tc>
        <w:tc>
          <w:tcPr>
            <w:tcW w:w="2552" w:type="dxa"/>
          </w:tcPr>
          <w:p w14:paraId="0959D02D" w14:textId="0E1677DA" w:rsidR="00B97DCC" w:rsidRPr="008112A9" w:rsidRDefault="00B97DCC" w:rsidP="009A2A6B">
            <w:pPr>
              <w:ind w:left="0" w:firstLine="0"/>
              <w:jc w:val="center"/>
              <w:rPr>
                <w:b/>
                <w:sz w:val="22"/>
                <w:szCs w:val="22"/>
              </w:rPr>
            </w:pPr>
            <w:r w:rsidRPr="008112A9">
              <w:rPr>
                <w:b/>
                <w:sz w:val="22"/>
                <w:szCs w:val="22"/>
              </w:rPr>
              <w:t>England</w:t>
            </w:r>
          </w:p>
        </w:tc>
      </w:tr>
      <w:tr w:rsidR="00B97DCC" w:rsidRPr="008112A9" w14:paraId="2CC3451E" w14:textId="7FAFFEEE" w:rsidTr="00B97DCC">
        <w:tc>
          <w:tcPr>
            <w:tcW w:w="0" w:type="auto"/>
          </w:tcPr>
          <w:p w14:paraId="298433EC" w14:textId="10E52BAE" w:rsidR="00B97DCC" w:rsidRPr="008112A9" w:rsidRDefault="00B97DCC" w:rsidP="00192C0E">
            <w:pPr>
              <w:ind w:left="0" w:firstLine="0"/>
              <w:rPr>
                <w:b/>
                <w:sz w:val="22"/>
                <w:szCs w:val="22"/>
              </w:rPr>
            </w:pPr>
            <w:r w:rsidRPr="008112A9">
              <w:rPr>
                <w:b/>
                <w:sz w:val="22"/>
                <w:szCs w:val="22"/>
              </w:rPr>
              <w:t>Flats/Maisonettes</w:t>
            </w:r>
          </w:p>
        </w:tc>
        <w:tc>
          <w:tcPr>
            <w:tcW w:w="0" w:type="auto"/>
          </w:tcPr>
          <w:p w14:paraId="4FC8AA1E" w14:textId="2DC8D440"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£175,000</w:t>
            </w:r>
          </w:p>
        </w:tc>
        <w:tc>
          <w:tcPr>
            <w:tcW w:w="2864" w:type="dxa"/>
          </w:tcPr>
          <w:p w14:paraId="60332261" w14:textId="3A8F3E07"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£169,000</w:t>
            </w:r>
          </w:p>
        </w:tc>
        <w:tc>
          <w:tcPr>
            <w:tcW w:w="2552" w:type="dxa"/>
          </w:tcPr>
          <w:p w14:paraId="24BAC925" w14:textId="62C580A0"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£235,000</w:t>
            </w:r>
          </w:p>
        </w:tc>
      </w:tr>
      <w:tr w:rsidR="00B97DCC" w:rsidRPr="008112A9" w14:paraId="0F209825" w14:textId="5C77867B" w:rsidTr="00B97DCC">
        <w:tc>
          <w:tcPr>
            <w:tcW w:w="0" w:type="auto"/>
          </w:tcPr>
          <w:p w14:paraId="5A3F5DF9" w14:textId="2D5F3615" w:rsidR="00B97DCC" w:rsidRPr="008112A9" w:rsidRDefault="00B97DCC" w:rsidP="00192C0E">
            <w:pPr>
              <w:ind w:left="0" w:firstLine="0"/>
              <w:rPr>
                <w:b/>
                <w:sz w:val="22"/>
                <w:szCs w:val="22"/>
              </w:rPr>
            </w:pPr>
            <w:r w:rsidRPr="008112A9">
              <w:rPr>
                <w:b/>
                <w:sz w:val="22"/>
                <w:szCs w:val="22"/>
              </w:rPr>
              <w:t>Terraced</w:t>
            </w:r>
          </w:p>
        </w:tc>
        <w:tc>
          <w:tcPr>
            <w:tcW w:w="0" w:type="auto"/>
          </w:tcPr>
          <w:p w14:paraId="4C04FDA3" w14:textId="7B5A2744"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£260,000</w:t>
            </w:r>
          </w:p>
        </w:tc>
        <w:tc>
          <w:tcPr>
            <w:tcW w:w="2864" w:type="dxa"/>
          </w:tcPr>
          <w:p w14:paraId="76832A6E" w14:textId="43D7740E"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£220,000</w:t>
            </w:r>
          </w:p>
        </w:tc>
        <w:tc>
          <w:tcPr>
            <w:tcW w:w="2552" w:type="dxa"/>
          </w:tcPr>
          <w:p w14:paraId="20FFC476" w14:textId="67C5C020"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£227,500</w:t>
            </w:r>
          </w:p>
        </w:tc>
      </w:tr>
      <w:tr w:rsidR="00B97DCC" w:rsidRPr="008112A9" w14:paraId="6DF53C4D" w14:textId="23942372" w:rsidTr="00B97DCC">
        <w:tc>
          <w:tcPr>
            <w:tcW w:w="0" w:type="auto"/>
          </w:tcPr>
          <w:p w14:paraId="5768D496" w14:textId="7232504A" w:rsidR="00B97DCC" w:rsidRPr="008112A9" w:rsidRDefault="00B97DCC" w:rsidP="00192C0E">
            <w:pPr>
              <w:ind w:left="0" w:firstLine="0"/>
              <w:rPr>
                <w:b/>
                <w:sz w:val="22"/>
                <w:szCs w:val="22"/>
              </w:rPr>
            </w:pPr>
            <w:r w:rsidRPr="008112A9">
              <w:rPr>
                <w:b/>
                <w:sz w:val="22"/>
                <w:szCs w:val="22"/>
              </w:rPr>
              <w:t>Semi-Detached</w:t>
            </w:r>
          </w:p>
        </w:tc>
        <w:tc>
          <w:tcPr>
            <w:tcW w:w="0" w:type="auto"/>
          </w:tcPr>
          <w:p w14:paraId="6BB0521C" w14:textId="55F5418F"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£300,000</w:t>
            </w:r>
          </w:p>
        </w:tc>
        <w:tc>
          <w:tcPr>
            <w:tcW w:w="2864" w:type="dxa"/>
          </w:tcPr>
          <w:p w14:paraId="664AF148" w14:textId="3555F1D2"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£260,000</w:t>
            </w:r>
          </w:p>
        </w:tc>
        <w:tc>
          <w:tcPr>
            <w:tcW w:w="2552" w:type="dxa"/>
          </w:tcPr>
          <w:p w14:paraId="641753C3" w14:textId="34D76050" w:rsidR="00B97DCC" w:rsidRPr="008112A9" w:rsidRDefault="00B97DCC" w:rsidP="008C6E94">
            <w:pPr>
              <w:spacing w:after="0"/>
              <w:ind w:left="0" w:firstLine="0"/>
              <w:jc w:val="center"/>
              <w:rPr>
                <w:rFonts w:cs="Calibri"/>
                <w:sz w:val="22"/>
                <w:szCs w:val="22"/>
                <w:lang w:eastAsia="en-GB"/>
              </w:rPr>
            </w:pPr>
            <w:r w:rsidRPr="008112A9">
              <w:rPr>
                <w:rFonts w:cs="Calibri"/>
                <w:sz w:val="22"/>
                <w:szCs w:val="22"/>
              </w:rPr>
              <w:t>£252,000</w:t>
            </w:r>
          </w:p>
        </w:tc>
      </w:tr>
      <w:tr w:rsidR="00B97DCC" w:rsidRPr="008112A9" w14:paraId="799002E8" w14:textId="3D82CEFB" w:rsidTr="00B97DCC">
        <w:tc>
          <w:tcPr>
            <w:tcW w:w="0" w:type="auto"/>
          </w:tcPr>
          <w:p w14:paraId="7417355B" w14:textId="1F7C8CFA" w:rsidR="00B97DCC" w:rsidRPr="008112A9" w:rsidRDefault="00B97DCC" w:rsidP="00192C0E">
            <w:pPr>
              <w:ind w:left="0" w:firstLine="0"/>
              <w:rPr>
                <w:b/>
                <w:sz w:val="22"/>
                <w:szCs w:val="22"/>
              </w:rPr>
            </w:pPr>
            <w:r w:rsidRPr="008112A9">
              <w:rPr>
                <w:b/>
                <w:sz w:val="22"/>
                <w:szCs w:val="22"/>
              </w:rPr>
              <w:t>Detached</w:t>
            </w:r>
          </w:p>
        </w:tc>
        <w:tc>
          <w:tcPr>
            <w:tcW w:w="0" w:type="auto"/>
          </w:tcPr>
          <w:p w14:paraId="3966C6BD" w14:textId="4EE71944"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£495,000</w:t>
            </w:r>
          </w:p>
        </w:tc>
        <w:tc>
          <w:tcPr>
            <w:tcW w:w="2864" w:type="dxa"/>
          </w:tcPr>
          <w:p w14:paraId="36E3230B" w14:textId="116487CD"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£410,000</w:t>
            </w:r>
          </w:p>
        </w:tc>
        <w:tc>
          <w:tcPr>
            <w:tcW w:w="2552" w:type="dxa"/>
          </w:tcPr>
          <w:p w14:paraId="42C4236E" w14:textId="1EA53D93" w:rsidR="00B97DCC" w:rsidRPr="008112A9" w:rsidRDefault="00B97DCC" w:rsidP="009A2A6B">
            <w:pPr>
              <w:spacing w:after="0"/>
              <w:ind w:left="0" w:firstLine="0"/>
              <w:jc w:val="center"/>
              <w:rPr>
                <w:rFonts w:cs="Calibri"/>
                <w:sz w:val="22"/>
                <w:szCs w:val="22"/>
                <w:lang w:eastAsia="en-GB"/>
              </w:rPr>
            </w:pPr>
            <w:r w:rsidRPr="008112A9">
              <w:rPr>
                <w:rFonts w:cs="Calibri"/>
                <w:sz w:val="22"/>
                <w:szCs w:val="22"/>
              </w:rPr>
              <w:t>£400,000</w:t>
            </w:r>
          </w:p>
        </w:tc>
      </w:tr>
    </w:tbl>
    <w:p w14:paraId="66B31D22" w14:textId="147F902A" w:rsidR="00454DFA" w:rsidRDefault="00454DFA" w:rsidP="00454DFA">
      <w:pPr>
        <w:ind w:left="0" w:right="421" w:firstLine="0"/>
        <w:jc w:val="left"/>
        <w:rPr>
          <w:color w:val="FF0000"/>
          <w:sz w:val="22"/>
          <w:szCs w:val="22"/>
        </w:rPr>
      </w:pPr>
    </w:p>
    <w:p w14:paraId="7CCA59BF" w14:textId="4B5DBEED" w:rsidR="00454DFA" w:rsidRPr="00454DFA" w:rsidRDefault="00454DFA" w:rsidP="00454DFA">
      <w:pPr>
        <w:tabs>
          <w:tab w:val="left" w:pos="709"/>
        </w:tabs>
        <w:ind w:left="708" w:right="421" w:hanging="708"/>
        <w:jc w:val="left"/>
        <w:rPr>
          <w:sz w:val="22"/>
          <w:szCs w:val="22"/>
        </w:rPr>
      </w:pPr>
      <w:r>
        <w:rPr>
          <w:sz w:val="22"/>
          <w:szCs w:val="22"/>
        </w:rPr>
        <w:t>4.3.6</w:t>
      </w:r>
      <w:r>
        <w:rPr>
          <w:sz w:val="22"/>
          <w:szCs w:val="22"/>
        </w:rPr>
        <w:tab/>
        <w:t>The median monthly rent payable in the District was £795, as seen in Figure 7. This was the third highest rent across the West Midlands, with Solihull and Warwick higher at £850 and £870 respectivel</w:t>
      </w:r>
      <w:r w:rsidR="00694E31">
        <w:rPr>
          <w:sz w:val="22"/>
          <w:szCs w:val="22"/>
        </w:rPr>
        <w:t>y.</w:t>
      </w:r>
      <w:r w:rsidR="00694E31">
        <w:rPr>
          <w:rStyle w:val="EndnoteReference"/>
          <w:sz w:val="22"/>
          <w:szCs w:val="22"/>
        </w:rPr>
        <w:endnoteReference w:id="12"/>
      </w:r>
    </w:p>
    <w:p w14:paraId="1D5BEF4B" w14:textId="77777777" w:rsidR="00454DFA" w:rsidRPr="000C2EB7" w:rsidRDefault="00454DFA" w:rsidP="00454DFA">
      <w:pPr>
        <w:ind w:left="0" w:right="421" w:firstLine="0"/>
        <w:jc w:val="left"/>
        <w:rPr>
          <w:vanish/>
          <w:color w:val="FF0000"/>
          <w:sz w:val="22"/>
          <w:szCs w:val="22"/>
        </w:rPr>
      </w:pPr>
    </w:p>
    <w:p w14:paraId="708F7AB2" w14:textId="21568CAC" w:rsidR="00022B87" w:rsidRPr="0019692F" w:rsidRDefault="00022B87" w:rsidP="0019692F">
      <w:pPr>
        <w:keepNext/>
        <w:ind w:left="0" w:right="421" w:firstLine="720"/>
        <w:jc w:val="left"/>
        <w:rPr>
          <w:sz w:val="22"/>
          <w:szCs w:val="22"/>
        </w:rPr>
      </w:pPr>
      <w:r w:rsidRPr="0019692F">
        <w:rPr>
          <w:sz w:val="22"/>
          <w:szCs w:val="22"/>
        </w:rPr>
        <w:t xml:space="preserve">Figure </w:t>
      </w:r>
      <w:r w:rsidR="00F61229" w:rsidRPr="0019692F">
        <w:rPr>
          <w:sz w:val="22"/>
          <w:szCs w:val="22"/>
        </w:rPr>
        <w:fldChar w:fldCharType="begin"/>
      </w:r>
      <w:r w:rsidR="00F61229" w:rsidRPr="0019692F">
        <w:rPr>
          <w:sz w:val="22"/>
          <w:szCs w:val="22"/>
        </w:rPr>
        <w:instrText xml:space="preserve"> SEQ Figure \* ARABIC </w:instrText>
      </w:r>
      <w:r w:rsidR="00F61229" w:rsidRPr="0019692F">
        <w:rPr>
          <w:sz w:val="22"/>
          <w:szCs w:val="22"/>
        </w:rPr>
        <w:fldChar w:fldCharType="separate"/>
      </w:r>
      <w:r w:rsidRPr="0019692F">
        <w:rPr>
          <w:noProof/>
          <w:sz w:val="22"/>
          <w:szCs w:val="22"/>
        </w:rPr>
        <w:t>7</w:t>
      </w:r>
      <w:r w:rsidR="00F61229" w:rsidRPr="0019692F">
        <w:rPr>
          <w:noProof/>
          <w:sz w:val="22"/>
          <w:szCs w:val="22"/>
        </w:rPr>
        <w:fldChar w:fldCharType="end"/>
      </w:r>
    </w:p>
    <w:p w14:paraId="47FFA565" w14:textId="26D1D6FE" w:rsidR="00022B87" w:rsidRDefault="00022B87" w:rsidP="00022B87">
      <w:pPr>
        <w:jc w:val="center"/>
        <w:rPr>
          <w:sz w:val="22"/>
          <w:szCs w:val="22"/>
        </w:rPr>
      </w:pPr>
      <w:r>
        <w:rPr>
          <w:noProof/>
          <w:sz w:val="22"/>
          <w:szCs w:val="22"/>
        </w:rPr>
        <w:drawing>
          <wp:inline distT="0" distB="0" distL="0" distR="0" wp14:anchorId="7E678B5D" wp14:editId="4EB92D78">
            <wp:extent cx="3971916" cy="210997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71916" cy="2109976"/>
                    </a:xfrm>
                    <a:prstGeom prst="rect">
                      <a:avLst/>
                    </a:prstGeom>
                    <a:noFill/>
                  </pic:spPr>
                </pic:pic>
              </a:graphicData>
            </a:graphic>
          </wp:inline>
        </w:drawing>
      </w:r>
    </w:p>
    <w:p w14:paraId="4AC04C7B" w14:textId="4B364A95" w:rsidR="00B6121B" w:rsidRPr="00E55171" w:rsidRDefault="00257D90" w:rsidP="00610EF3">
      <w:pPr>
        <w:pStyle w:val="ListParagraph"/>
        <w:numPr>
          <w:ilvl w:val="1"/>
          <w:numId w:val="20"/>
        </w:numPr>
        <w:ind w:left="709" w:hanging="709"/>
        <w:contextualSpacing w:val="0"/>
        <w:jc w:val="left"/>
        <w:rPr>
          <w:b/>
          <w:i/>
          <w:iCs/>
          <w:sz w:val="22"/>
          <w:szCs w:val="22"/>
        </w:rPr>
      </w:pPr>
      <w:r w:rsidRPr="00E55171">
        <w:rPr>
          <w:b/>
          <w:i/>
          <w:iCs/>
          <w:sz w:val="22"/>
          <w:szCs w:val="22"/>
        </w:rPr>
        <w:t xml:space="preserve">Ratio </w:t>
      </w:r>
      <w:r w:rsidR="0053451E" w:rsidRPr="00E55171">
        <w:rPr>
          <w:b/>
          <w:i/>
          <w:iCs/>
          <w:sz w:val="22"/>
          <w:szCs w:val="22"/>
        </w:rPr>
        <w:t xml:space="preserve">of </w:t>
      </w:r>
      <w:r w:rsidRPr="00E55171">
        <w:rPr>
          <w:b/>
          <w:i/>
          <w:iCs/>
          <w:sz w:val="22"/>
          <w:szCs w:val="22"/>
        </w:rPr>
        <w:t>House Prices to Earnings</w:t>
      </w:r>
    </w:p>
    <w:p w14:paraId="4C9DFB52" w14:textId="1A1C0A46" w:rsidR="000223A1" w:rsidRPr="00610EF3" w:rsidRDefault="00257D90" w:rsidP="00610EF3">
      <w:pPr>
        <w:pStyle w:val="ListParagraph"/>
        <w:numPr>
          <w:ilvl w:val="3"/>
          <w:numId w:val="20"/>
        </w:numPr>
        <w:ind w:left="709" w:right="421" w:hanging="709"/>
        <w:contextualSpacing w:val="0"/>
        <w:jc w:val="left"/>
        <w:rPr>
          <w:sz w:val="22"/>
          <w:szCs w:val="22"/>
        </w:rPr>
      </w:pPr>
      <w:r w:rsidRPr="000223A1">
        <w:rPr>
          <w:sz w:val="22"/>
          <w:szCs w:val="22"/>
        </w:rPr>
        <w:t>The median house price to median earnings ratio</w:t>
      </w:r>
      <w:r w:rsidR="00516963" w:rsidRPr="000223A1">
        <w:rPr>
          <w:sz w:val="22"/>
          <w:szCs w:val="22"/>
        </w:rPr>
        <w:t xml:space="preserve"> in the District</w:t>
      </w:r>
      <w:r w:rsidR="009D7F80" w:rsidRPr="000223A1">
        <w:rPr>
          <w:sz w:val="22"/>
          <w:szCs w:val="22"/>
        </w:rPr>
        <w:t xml:space="preserve"> stood at 10.</w:t>
      </w:r>
      <w:r w:rsidR="00341474" w:rsidRPr="000223A1">
        <w:rPr>
          <w:sz w:val="22"/>
          <w:szCs w:val="22"/>
        </w:rPr>
        <w:t>17</w:t>
      </w:r>
      <w:r w:rsidR="009D7F80" w:rsidRPr="000223A1">
        <w:rPr>
          <w:sz w:val="22"/>
          <w:szCs w:val="22"/>
        </w:rPr>
        <w:t xml:space="preserve"> </w:t>
      </w:r>
      <w:r w:rsidRPr="000223A1">
        <w:rPr>
          <w:sz w:val="22"/>
          <w:szCs w:val="22"/>
        </w:rPr>
        <w:t>in 20</w:t>
      </w:r>
      <w:r w:rsidR="009D7F80" w:rsidRPr="000223A1">
        <w:rPr>
          <w:sz w:val="22"/>
          <w:szCs w:val="22"/>
        </w:rPr>
        <w:t>2</w:t>
      </w:r>
      <w:r w:rsidR="00341474" w:rsidRPr="000223A1">
        <w:rPr>
          <w:sz w:val="22"/>
          <w:szCs w:val="22"/>
        </w:rPr>
        <w:t>1</w:t>
      </w:r>
      <w:r w:rsidR="00F473C3" w:rsidRPr="00BF75B9">
        <w:rPr>
          <w:rStyle w:val="EndnoteReference"/>
          <w:sz w:val="22"/>
          <w:szCs w:val="22"/>
        </w:rPr>
        <w:endnoteReference w:id="13"/>
      </w:r>
      <w:r w:rsidRPr="000223A1">
        <w:rPr>
          <w:sz w:val="22"/>
          <w:szCs w:val="22"/>
        </w:rPr>
        <w:t xml:space="preserve">. This was the </w:t>
      </w:r>
      <w:r w:rsidR="00FD76B9" w:rsidRPr="000223A1">
        <w:rPr>
          <w:sz w:val="22"/>
          <w:szCs w:val="22"/>
        </w:rPr>
        <w:t>third</w:t>
      </w:r>
      <w:r w:rsidRPr="000223A1">
        <w:rPr>
          <w:sz w:val="22"/>
          <w:szCs w:val="22"/>
        </w:rPr>
        <w:t xml:space="preserve"> highest ratio in the West Midlands region, with </w:t>
      </w:r>
      <w:r w:rsidR="00EE4048" w:rsidRPr="000223A1">
        <w:rPr>
          <w:sz w:val="22"/>
          <w:szCs w:val="22"/>
        </w:rPr>
        <w:t xml:space="preserve">Wychavon and </w:t>
      </w:r>
      <w:r w:rsidR="009D7F80" w:rsidRPr="000223A1">
        <w:rPr>
          <w:sz w:val="22"/>
          <w:szCs w:val="22"/>
        </w:rPr>
        <w:t>Malvern Hills higher at 1</w:t>
      </w:r>
      <w:r w:rsidR="00EE4048" w:rsidRPr="000223A1">
        <w:rPr>
          <w:sz w:val="22"/>
          <w:szCs w:val="22"/>
        </w:rPr>
        <w:t>0.64 and 10.</w:t>
      </w:r>
      <w:r w:rsidR="00D44131" w:rsidRPr="000223A1">
        <w:rPr>
          <w:sz w:val="22"/>
          <w:szCs w:val="22"/>
        </w:rPr>
        <w:t>26</w:t>
      </w:r>
      <w:r w:rsidR="00EE4048" w:rsidRPr="000223A1">
        <w:rPr>
          <w:sz w:val="22"/>
          <w:szCs w:val="22"/>
        </w:rPr>
        <w:t xml:space="preserve"> respectively.</w:t>
      </w:r>
      <w:r w:rsidRPr="000223A1">
        <w:rPr>
          <w:sz w:val="22"/>
          <w:szCs w:val="22"/>
        </w:rPr>
        <w:t xml:space="preserve"> By comparison, th</w:t>
      </w:r>
      <w:r w:rsidR="009D7F80" w:rsidRPr="000223A1">
        <w:rPr>
          <w:sz w:val="22"/>
          <w:szCs w:val="22"/>
        </w:rPr>
        <w:t>e ratio for Warwickshire was 8.</w:t>
      </w:r>
      <w:r w:rsidR="00BF75B9" w:rsidRPr="000223A1">
        <w:rPr>
          <w:sz w:val="22"/>
          <w:szCs w:val="22"/>
        </w:rPr>
        <w:t>55</w:t>
      </w:r>
      <w:r w:rsidRPr="000223A1">
        <w:rPr>
          <w:sz w:val="22"/>
          <w:szCs w:val="22"/>
        </w:rPr>
        <w:t xml:space="preserve"> and </w:t>
      </w:r>
      <w:r w:rsidR="009D7F80" w:rsidRPr="000223A1">
        <w:rPr>
          <w:sz w:val="22"/>
          <w:szCs w:val="22"/>
        </w:rPr>
        <w:t xml:space="preserve">that for England was </w:t>
      </w:r>
      <w:r w:rsidR="00BF75B9" w:rsidRPr="000223A1">
        <w:rPr>
          <w:sz w:val="22"/>
          <w:szCs w:val="22"/>
        </w:rPr>
        <w:t>9.05</w:t>
      </w:r>
      <w:r w:rsidR="009D7F80" w:rsidRPr="000223A1">
        <w:rPr>
          <w:sz w:val="22"/>
          <w:szCs w:val="22"/>
        </w:rPr>
        <w:t>.</w:t>
      </w:r>
    </w:p>
    <w:p w14:paraId="2091D149" w14:textId="090A3FBB" w:rsidR="000223A1" w:rsidRPr="00610EF3" w:rsidRDefault="00257D90" w:rsidP="00610EF3">
      <w:pPr>
        <w:pStyle w:val="ListParagraph"/>
        <w:numPr>
          <w:ilvl w:val="3"/>
          <w:numId w:val="20"/>
        </w:numPr>
        <w:ind w:left="709" w:right="421" w:hanging="709"/>
        <w:contextualSpacing w:val="0"/>
        <w:jc w:val="left"/>
        <w:rPr>
          <w:sz w:val="22"/>
          <w:szCs w:val="22"/>
        </w:rPr>
      </w:pPr>
      <w:r w:rsidRPr="000223A1">
        <w:rPr>
          <w:sz w:val="22"/>
          <w:szCs w:val="22"/>
        </w:rPr>
        <w:t xml:space="preserve">The lower quartile house price to lower quartile earnings ratio </w:t>
      </w:r>
      <w:r w:rsidR="00516963" w:rsidRPr="000223A1">
        <w:rPr>
          <w:sz w:val="22"/>
          <w:szCs w:val="22"/>
        </w:rPr>
        <w:t xml:space="preserve">in the District </w:t>
      </w:r>
      <w:r w:rsidR="009D7F80" w:rsidRPr="000223A1">
        <w:rPr>
          <w:sz w:val="22"/>
          <w:szCs w:val="22"/>
        </w:rPr>
        <w:t>was 10.</w:t>
      </w:r>
      <w:r w:rsidR="008C70EB" w:rsidRPr="000223A1">
        <w:rPr>
          <w:sz w:val="22"/>
          <w:szCs w:val="22"/>
        </w:rPr>
        <w:t>74</w:t>
      </w:r>
      <w:r w:rsidRPr="000223A1">
        <w:rPr>
          <w:sz w:val="22"/>
          <w:szCs w:val="22"/>
        </w:rPr>
        <w:t xml:space="preserve">. </w:t>
      </w:r>
      <w:r w:rsidR="00234F60" w:rsidRPr="000223A1">
        <w:rPr>
          <w:sz w:val="22"/>
          <w:szCs w:val="22"/>
        </w:rPr>
        <w:t>This was the highest ratio for the West Midlands region</w:t>
      </w:r>
      <w:r w:rsidR="00F20EB2" w:rsidRPr="000223A1">
        <w:rPr>
          <w:sz w:val="22"/>
          <w:szCs w:val="22"/>
        </w:rPr>
        <w:t xml:space="preserve">. </w:t>
      </w:r>
      <w:r w:rsidR="00234F60" w:rsidRPr="000223A1">
        <w:rPr>
          <w:sz w:val="22"/>
          <w:szCs w:val="22"/>
        </w:rPr>
        <w:t>By comparison, the lower quartile house price to earnings ratio for Warw</w:t>
      </w:r>
      <w:r w:rsidR="009D7F80" w:rsidRPr="000223A1">
        <w:rPr>
          <w:sz w:val="22"/>
          <w:szCs w:val="22"/>
        </w:rPr>
        <w:t>ickshire was 8.</w:t>
      </w:r>
      <w:r w:rsidR="00B72C1B" w:rsidRPr="000223A1">
        <w:rPr>
          <w:sz w:val="22"/>
          <w:szCs w:val="22"/>
        </w:rPr>
        <w:t>67</w:t>
      </w:r>
      <w:r w:rsidR="009D7F80" w:rsidRPr="000223A1">
        <w:rPr>
          <w:sz w:val="22"/>
          <w:szCs w:val="22"/>
        </w:rPr>
        <w:t xml:space="preserve"> and for England was </w:t>
      </w:r>
      <w:r w:rsidR="00E44BCD" w:rsidRPr="000223A1">
        <w:rPr>
          <w:sz w:val="22"/>
          <w:szCs w:val="22"/>
        </w:rPr>
        <w:t>8.04</w:t>
      </w:r>
      <w:r w:rsidR="00234F60" w:rsidRPr="000223A1">
        <w:rPr>
          <w:sz w:val="22"/>
          <w:szCs w:val="22"/>
        </w:rPr>
        <w:t>.</w:t>
      </w:r>
      <w:r w:rsidR="00194059" w:rsidRPr="000223A1">
        <w:rPr>
          <w:sz w:val="22"/>
          <w:szCs w:val="22"/>
        </w:rPr>
        <w:t xml:space="preserve"> </w:t>
      </w:r>
    </w:p>
    <w:p w14:paraId="63D26BE9" w14:textId="168E6540" w:rsidR="00EC3D80" w:rsidRDefault="009D7F80" w:rsidP="00610EF3">
      <w:pPr>
        <w:pStyle w:val="ListParagraph"/>
        <w:numPr>
          <w:ilvl w:val="3"/>
          <w:numId w:val="20"/>
        </w:numPr>
        <w:ind w:left="709" w:right="421" w:hanging="709"/>
        <w:contextualSpacing w:val="0"/>
        <w:jc w:val="left"/>
        <w:rPr>
          <w:sz w:val="22"/>
          <w:szCs w:val="22"/>
        </w:rPr>
      </w:pPr>
      <w:r w:rsidRPr="000223A1">
        <w:rPr>
          <w:sz w:val="22"/>
          <w:szCs w:val="22"/>
        </w:rPr>
        <w:t xml:space="preserve">Figure </w:t>
      </w:r>
      <w:r w:rsidR="00F475FC" w:rsidRPr="000223A1">
        <w:rPr>
          <w:sz w:val="22"/>
          <w:szCs w:val="22"/>
        </w:rPr>
        <w:t>8</w:t>
      </w:r>
      <w:r w:rsidR="00194059" w:rsidRPr="000223A1">
        <w:rPr>
          <w:sz w:val="22"/>
          <w:szCs w:val="22"/>
        </w:rPr>
        <w:t xml:space="preserve"> below shows that the lower quartile price to earnings ratio </w:t>
      </w:r>
      <w:r w:rsidR="000956D0" w:rsidRPr="000223A1">
        <w:rPr>
          <w:sz w:val="22"/>
          <w:szCs w:val="22"/>
        </w:rPr>
        <w:t>has grown</w:t>
      </w:r>
      <w:r w:rsidR="00194059" w:rsidRPr="000223A1">
        <w:rPr>
          <w:sz w:val="22"/>
          <w:szCs w:val="22"/>
        </w:rPr>
        <w:t xml:space="preserve"> faster than the median, meaning those in the lower income bracket </w:t>
      </w:r>
      <w:r w:rsidR="000956D0" w:rsidRPr="000223A1">
        <w:rPr>
          <w:sz w:val="22"/>
          <w:szCs w:val="22"/>
        </w:rPr>
        <w:t>have been</w:t>
      </w:r>
      <w:r w:rsidR="00194059" w:rsidRPr="000223A1">
        <w:rPr>
          <w:sz w:val="22"/>
          <w:szCs w:val="22"/>
        </w:rPr>
        <w:t xml:space="preserve"> affected worse than those with median income by price rises.</w:t>
      </w:r>
    </w:p>
    <w:p w14:paraId="55666EB8" w14:textId="709BB5DF" w:rsidR="00FF2AA8" w:rsidRPr="00AC7BD8" w:rsidRDefault="0019692F" w:rsidP="00CB645C">
      <w:pPr>
        <w:pStyle w:val="Caption"/>
        <w:keepNext/>
        <w:ind w:hanging="11"/>
        <w:jc w:val="left"/>
        <w:rPr>
          <w:i w:val="0"/>
          <w:iCs w:val="0"/>
          <w:color w:val="auto"/>
          <w:sz w:val="22"/>
          <w:szCs w:val="22"/>
        </w:rPr>
      </w:pPr>
      <w:r>
        <w:rPr>
          <w:i w:val="0"/>
          <w:iCs w:val="0"/>
          <w:color w:val="auto"/>
          <w:sz w:val="22"/>
          <w:szCs w:val="22"/>
        </w:rPr>
        <w:t>F</w:t>
      </w:r>
      <w:r w:rsidR="00FF2AA8" w:rsidRPr="00AC7BD8">
        <w:rPr>
          <w:i w:val="0"/>
          <w:iCs w:val="0"/>
          <w:color w:val="auto"/>
          <w:sz w:val="22"/>
          <w:szCs w:val="22"/>
        </w:rPr>
        <w:t xml:space="preserve">igure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Figure \* ARABIC </w:instrText>
      </w:r>
      <w:r w:rsidR="00F61229" w:rsidRPr="00AC7BD8">
        <w:rPr>
          <w:i w:val="0"/>
          <w:iCs w:val="0"/>
          <w:color w:val="auto"/>
          <w:sz w:val="22"/>
          <w:szCs w:val="22"/>
        </w:rPr>
        <w:fldChar w:fldCharType="separate"/>
      </w:r>
      <w:r w:rsidR="000223A1" w:rsidRPr="00AC7BD8">
        <w:rPr>
          <w:i w:val="0"/>
          <w:iCs w:val="0"/>
          <w:noProof/>
          <w:color w:val="auto"/>
          <w:sz w:val="22"/>
          <w:szCs w:val="22"/>
        </w:rPr>
        <w:t>8</w:t>
      </w:r>
      <w:r w:rsidR="00F61229" w:rsidRPr="00AC7BD8">
        <w:rPr>
          <w:i w:val="0"/>
          <w:iCs w:val="0"/>
          <w:noProof/>
          <w:color w:val="auto"/>
          <w:sz w:val="22"/>
          <w:szCs w:val="22"/>
        </w:rPr>
        <w:fldChar w:fldCharType="end"/>
      </w:r>
    </w:p>
    <w:p w14:paraId="70725BCB" w14:textId="334A500C" w:rsidR="00F475FC" w:rsidRPr="00F475FC" w:rsidRDefault="00F475FC" w:rsidP="00F475FC">
      <w:pPr>
        <w:jc w:val="center"/>
      </w:pPr>
      <w:r>
        <w:rPr>
          <w:noProof/>
        </w:rPr>
        <w:drawing>
          <wp:inline distT="0" distB="0" distL="0" distR="0" wp14:anchorId="44EDAEDB" wp14:editId="7647BEBF">
            <wp:extent cx="5092505" cy="3439551"/>
            <wp:effectExtent l="0" t="0" r="13335" b="8890"/>
            <wp:docPr id="19" name="Chart 19">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20A866" w14:textId="77777777" w:rsidR="00100884" w:rsidRPr="00E55171" w:rsidRDefault="00100884" w:rsidP="00610EF3">
      <w:pPr>
        <w:tabs>
          <w:tab w:val="left" w:pos="709"/>
        </w:tabs>
        <w:ind w:left="0" w:firstLine="0"/>
        <w:jc w:val="left"/>
        <w:rPr>
          <w:b/>
          <w:i/>
          <w:iCs/>
          <w:vanish/>
          <w:sz w:val="22"/>
          <w:szCs w:val="22"/>
        </w:rPr>
      </w:pPr>
    </w:p>
    <w:p w14:paraId="1887576A" w14:textId="0DAB1635" w:rsidR="0030146E" w:rsidRPr="00E55171" w:rsidRDefault="00100884" w:rsidP="00610EF3">
      <w:pPr>
        <w:pStyle w:val="ListParagraph"/>
        <w:numPr>
          <w:ilvl w:val="1"/>
          <w:numId w:val="20"/>
        </w:numPr>
        <w:contextualSpacing w:val="0"/>
        <w:jc w:val="left"/>
        <w:rPr>
          <w:b/>
          <w:i/>
          <w:iCs/>
          <w:sz w:val="22"/>
          <w:szCs w:val="22"/>
        </w:rPr>
      </w:pPr>
      <w:r w:rsidRPr="00E55171">
        <w:rPr>
          <w:b/>
          <w:i/>
          <w:iCs/>
          <w:sz w:val="22"/>
          <w:szCs w:val="22"/>
        </w:rPr>
        <w:t>H</w:t>
      </w:r>
      <w:r w:rsidR="009F1D6A" w:rsidRPr="00E55171">
        <w:rPr>
          <w:b/>
          <w:i/>
          <w:iCs/>
          <w:sz w:val="22"/>
          <w:szCs w:val="22"/>
        </w:rPr>
        <w:t xml:space="preserve">ousing Tenure </w:t>
      </w:r>
      <w:r w:rsidR="00806281" w:rsidRPr="00E55171">
        <w:rPr>
          <w:b/>
          <w:i/>
          <w:iCs/>
          <w:sz w:val="22"/>
          <w:szCs w:val="22"/>
        </w:rPr>
        <w:t xml:space="preserve">and </w:t>
      </w:r>
      <w:r w:rsidR="00600145" w:rsidRPr="00E55171">
        <w:rPr>
          <w:b/>
          <w:i/>
          <w:iCs/>
          <w:sz w:val="22"/>
          <w:szCs w:val="22"/>
        </w:rPr>
        <w:t>O</w:t>
      </w:r>
      <w:r w:rsidR="00806281" w:rsidRPr="00E55171">
        <w:rPr>
          <w:b/>
          <w:i/>
          <w:iCs/>
          <w:sz w:val="22"/>
          <w:szCs w:val="22"/>
        </w:rPr>
        <w:t>ccupanc</w:t>
      </w:r>
      <w:r w:rsidR="00610EF3" w:rsidRPr="00E55171">
        <w:rPr>
          <w:b/>
          <w:i/>
          <w:iCs/>
          <w:sz w:val="22"/>
          <w:szCs w:val="22"/>
        </w:rPr>
        <w:t>y</w:t>
      </w:r>
    </w:p>
    <w:p w14:paraId="419CFC4A" w14:textId="115B41DF" w:rsidR="000223A1" w:rsidRPr="00610EF3" w:rsidRDefault="00F850F1" w:rsidP="00610EF3">
      <w:pPr>
        <w:pStyle w:val="ListParagraph"/>
        <w:numPr>
          <w:ilvl w:val="3"/>
          <w:numId w:val="20"/>
        </w:numPr>
        <w:ind w:left="709" w:right="421" w:hanging="709"/>
        <w:contextualSpacing w:val="0"/>
        <w:jc w:val="left"/>
        <w:rPr>
          <w:sz w:val="22"/>
          <w:szCs w:val="22"/>
        </w:rPr>
      </w:pPr>
      <w:r w:rsidRPr="000223A1">
        <w:rPr>
          <w:sz w:val="22"/>
          <w:szCs w:val="22"/>
        </w:rPr>
        <w:t xml:space="preserve">Approximately </w:t>
      </w:r>
      <w:r w:rsidR="004D67FD" w:rsidRPr="000223A1">
        <w:rPr>
          <w:sz w:val="22"/>
          <w:szCs w:val="22"/>
        </w:rPr>
        <w:t>1,074</w:t>
      </w:r>
      <w:r w:rsidR="00192C0E" w:rsidRPr="000223A1">
        <w:rPr>
          <w:sz w:val="22"/>
          <w:szCs w:val="22"/>
        </w:rPr>
        <w:t xml:space="preserve"> dwellings are thought to be vacant across the </w:t>
      </w:r>
      <w:r w:rsidR="001D61F1" w:rsidRPr="000223A1">
        <w:rPr>
          <w:sz w:val="22"/>
          <w:szCs w:val="22"/>
        </w:rPr>
        <w:t>District</w:t>
      </w:r>
      <w:r w:rsidR="00A427B3" w:rsidRPr="000223A1">
        <w:rPr>
          <w:sz w:val="22"/>
          <w:szCs w:val="22"/>
        </w:rPr>
        <w:t xml:space="preserve">, with </w:t>
      </w:r>
      <w:r w:rsidR="004D67FD" w:rsidRPr="000223A1">
        <w:rPr>
          <w:sz w:val="22"/>
          <w:szCs w:val="22"/>
        </w:rPr>
        <w:t>872</w:t>
      </w:r>
      <w:r w:rsidR="00A427B3" w:rsidRPr="000223A1">
        <w:rPr>
          <w:sz w:val="22"/>
          <w:szCs w:val="22"/>
        </w:rPr>
        <w:t xml:space="preserve"> classed as long-term vacant</w:t>
      </w:r>
      <w:r w:rsidR="00F473C3" w:rsidRPr="000735D4">
        <w:rPr>
          <w:rStyle w:val="EndnoteReference"/>
          <w:sz w:val="22"/>
          <w:szCs w:val="22"/>
        </w:rPr>
        <w:endnoteReference w:id="14"/>
      </w:r>
      <w:r w:rsidR="00192C0E" w:rsidRPr="000223A1">
        <w:rPr>
          <w:sz w:val="22"/>
          <w:szCs w:val="22"/>
        </w:rPr>
        <w:t>. Of these</w:t>
      </w:r>
      <w:r w:rsidR="00273B42" w:rsidRPr="000223A1">
        <w:rPr>
          <w:sz w:val="22"/>
          <w:szCs w:val="22"/>
        </w:rPr>
        <w:t xml:space="preserve"> long-term vacant dwellings</w:t>
      </w:r>
      <w:r w:rsidR="00192C0E" w:rsidRPr="000223A1">
        <w:rPr>
          <w:sz w:val="22"/>
          <w:szCs w:val="22"/>
        </w:rPr>
        <w:t>,</w:t>
      </w:r>
      <w:r w:rsidR="00A427B3" w:rsidRPr="000223A1">
        <w:rPr>
          <w:sz w:val="22"/>
          <w:szCs w:val="22"/>
        </w:rPr>
        <w:t xml:space="preserve"> approximately </w:t>
      </w:r>
      <w:r w:rsidR="00273B42" w:rsidRPr="000223A1">
        <w:rPr>
          <w:sz w:val="22"/>
          <w:szCs w:val="22"/>
        </w:rPr>
        <w:t>47</w:t>
      </w:r>
      <w:r w:rsidR="00192C0E" w:rsidRPr="000223A1">
        <w:rPr>
          <w:sz w:val="22"/>
          <w:szCs w:val="22"/>
        </w:rPr>
        <w:t xml:space="preserve"> are owned by a </w:t>
      </w:r>
      <w:r w:rsidR="00EF5BAA" w:rsidRPr="000223A1">
        <w:rPr>
          <w:sz w:val="22"/>
          <w:szCs w:val="22"/>
        </w:rPr>
        <w:t xml:space="preserve">Private Registered Provider </w:t>
      </w:r>
      <w:r w:rsidR="00273B42" w:rsidRPr="000223A1">
        <w:rPr>
          <w:sz w:val="22"/>
          <w:szCs w:val="22"/>
        </w:rPr>
        <w:t>(</w:t>
      </w:r>
      <w:r w:rsidR="00192C0E" w:rsidRPr="000223A1">
        <w:rPr>
          <w:sz w:val="22"/>
          <w:szCs w:val="22"/>
        </w:rPr>
        <w:t>Housing Associat</w:t>
      </w:r>
      <w:r w:rsidR="00C826E7" w:rsidRPr="000223A1">
        <w:rPr>
          <w:sz w:val="22"/>
          <w:szCs w:val="22"/>
        </w:rPr>
        <w:t>ion</w:t>
      </w:r>
      <w:r w:rsidR="00273B42" w:rsidRPr="000223A1">
        <w:rPr>
          <w:sz w:val="22"/>
          <w:szCs w:val="22"/>
        </w:rPr>
        <w:t>).</w:t>
      </w:r>
      <w:r w:rsidR="00322DD8" w:rsidRPr="000223A1">
        <w:rPr>
          <w:sz w:val="22"/>
          <w:szCs w:val="22"/>
        </w:rPr>
        <w:t xml:space="preserve">  </w:t>
      </w:r>
    </w:p>
    <w:p w14:paraId="6AC6F57A" w14:textId="7EEA9622" w:rsidR="000223A1" w:rsidRPr="00610EF3" w:rsidRDefault="00A427B3" w:rsidP="00610EF3">
      <w:pPr>
        <w:pStyle w:val="ListParagraph"/>
        <w:numPr>
          <w:ilvl w:val="3"/>
          <w:numId w:val="20"/>
        </w:numPr>
        <w:ind w:left="709" w:right="421" w:hanging="709"/>
        <w:contextualSpacing w:val="0"/>
        <w:jc w:val="left"/>
        <w:rPr>
          <w:sz w:val="22"/>
          <w:szCs w:val="22"/>
        </w:rPr>
      </w:pPr>
      <w:r w:rsidRPr="000223A1">
        <w:rPr>
          <w:sz w:val="22"/>
          <w:szCs w:val="22"/>
        </w:rPr>
        <w:t>According to the ONS, in 2019</w:t>
      </w:r>
      <w:r w:rsidR="007F3F7A" w:rsidRPr="000223A1">
        <w:rPr>
          <w:sz w:val="22"/>
          <w:szCs w:val="22"/>
        </w:rPr>
        <w:t>,</w:t>
      </w:r>
      <w:r w:rsidR="00D11D4D" w:rsidRPr="000223A1">
        <w:rPr>
          <w:sz w:val="22"/>
          <w:szCs w:val="22"/>
        </w:rPr>
        <w:t xml:space="preserve"> approximately 7</w:t>
      </w:r>
      <w:r w:rsidRPr="000223A1">
        <w:rPr>
          <w:sz w:val="22"/>
          <w:szCs w:val="22"/>
        </w:rPr>
        <w:t>2</w:t>
      </w:r>
      <w:r w:rsidR="00D11D4D" w:rsidRPr="000223A1">
        <w:rPr>
          <w:sz w:val="22"/>
          <w:szCs w:val="22"/>
        </w:rPr>
        <w:t xml:space="preserve">% </w:t>
      </w:r>
      <w:r w:rsidR="008111BD" w:rsidRPr="000223A1">
        <w:rPr>
          <w:sz w:val="22"/>
          <w:szCs w:val="22"/>
        </w:rPr>
        <w:t xml:space="preserve">of </w:t>
      </w:r>
      <w:r w:rsidR="00D11D4D" w:rsidRPr="000223A1">
        <w:rPr>
          <w:sz w:val="22"/>
          <w:szCs w:val="22"/>
        </w:rPr>
        <w:t>dwellings</w:t>
      </w:r>
      <w:r w:rsidR="008111BD" w:rsidRPr="000223A1">
        <w:rPr>
          <w:sz w:val="22"/>
          <w:szCs w:val="22"/>
        </w:rPr>
        <w:t xml:space="preserve"> in the District</w:t>
      </w:r>
      <w:r w:rsidRPr="000223A1">
        <w:rPr>
          <w:sz w:val="22"/>
          <w:szCs w:val="22"/>
        </w:rPr>
        <w:t xml:space="preserve"> were owner-occupied, 1</w:t>
      </w:r>
      <w:r w:rsidR="00A5460D" w:rsidRPr="000223A1">
        <w:rPr>
          <w:sz w:val="22"/>
          <w:szCs w:val="22"/>
        </w:rPr>
        <w:t>3</w:t>
      </w:r>
      <w:r w:rsidR="00D11D4D" w:rsidRPr="000223A1">
        <w:rPr>
          <w:sz w:val="22"/>
          <w:szCs w:val="22"/>
        </w:rPr>
        <w:t>% were privately rented and 13% were socially rented</w:t>
      </w:r>
      <w:r w:rsidR="00513EB3">
        <w:rPr>
          <w:rStyle w:val="EndnoteReference"/>
          <w:sz w:val="22"/>
          <w:szCs w:val="22"/>
        </w:rPr>
        <w:endnoteReference w:id="15"/>
      </w:r>
      <w:r w:rsidR="00D11D4D" w:rsidRPr="000223A1">
        <w:rPr>
          <w:sz w:val="22"/>
          <w:szCs w:val="22"/>
        </w:rPr>
        <w:t xml:space="preserve">. </w:t>
      </w:r>
      <w:r w:rsidR="00C94BEC" w:rsidRPr="000223A1">
        <w:rPr>
          <w:sz w:val="22"/>
          <w:szCs w:val="22"/>
        </w:rPr>
        <w:t>An estimated 1.5% lived rent-free.</w:t>
      </w:r>
    </w:p>
    <w:p w14:paraId="0453E9D1" w14:textId="6E1640A1" w:rsidR="00D11D4D" w:rsidRPr="000223A1" w:rsidRDefault="00A427B3" w:rsidP="00610EF3">
      <w:pPr>
        <w:pStyle w:val="ListParagraph"/>
        <w:numPr>
          <w:ilvl w:val="3"/>
          <w:numId w:val="20"/>
        </w:numPr>
        <w:ind w:left="709" w:right="421" w:hanging="709"/>
        <w:contextualSpacing w:val="0"/>
        <w:jc w:val="left"/>
        <w:rPr>
          <w:sz w:val="22"/>
          <w:szCs w:val="22"/>
        </w:rPr>
      </w:pPr>
      <w:r w:rsidRPr="000223A1">
        <w:rPr>
          <w:sz w:val="22"/>
          <w:szCs w:val="22"/>
        </w:rPr>
        <w:t xml:space="preserve">Figure </w:t>
      </w:r>
      <w:r w:rsidR="000735D4" w:rsidRPr="000223A1">
        <w:rPr>
          <w:sz w:val="22"/>
          <w:szCs w:val="22"/>
        </w:rPr>
        <w:t>9</w:t>
      </w:r>
      <w:r w:rsidR="008111BD" w:rsidRPr="000223A1">
        <w:rPr>
          <w:sz w:val="22"/>
          <w:szCs w:val="22"/>
        </w:rPr>
        <w:t xml:space="preserve"> </w:t>
      </w:r>
      <w:r w:rsidR="00D11D4D" w:rsidRPr="000223A1">
        <w:rPr>
          <w:sz w:val="22"/>
          <w:szCs w:val="22"/>
        </w:rPr>
        <w:t xml:space="preserve">shows the breakdown of dwellings within the </w:t>
      </w:r>
      <w:r w:rsidR="001D61F1" w:rsidRPr="000223A1">
        <w:rPr>
          <w:sz w:val="22"/>
          <w:szCs w:val="22"/>
        </w:rPr>
        <w:t>District</w:t>
      </w:r>
      <w:r w:rsidR="00D11D4D" w:rsidRPr="000223A1">
        <w:rPr>
          <w:sz w:val="22"/>
          <w:szCs w:val="22"/>
        </w:rPr>
        <w:t xml:space="preserve"> by Council Tax band</w:t>
      </w:r>
      <w:r w:rsidR="006A55D7">
        <w:rPr>
          <w:rStyle w:val="EndnoteReference"/>
          <w:sz w:val="22"/>
          <w:szCs w:val="22"/>
        </w:rPr>
        <w:endnoteReference w:id="16"/>
      </w:r>
      <w:r w:rsidR="00D11D4D" w:rsidRPr="000223A1">
        <w:rPr>
          <w:sz w:val="22"/>
          <w:szCs w:val="22"/>
        </w:rPr>
        <w:t xml:space="preserve">. The </w:t>
      </w:r>
      <w:r w:rsidR="001D61F1" w:rsidRPr="000223A1">
        <w:rPr>
          <w:sz w:val="22"/>
          <w:szCs w:val="22"/>
        </w:rPr>
        <w:t>District</w:t>
      </w:r>
      <w:r w:rsidR="00D11D4D" w:rsidRPr="000223A1">
        <w:rPr>
          <w:sz w:val="22"/>
          <w:szCs w:val="22"/>
        </w:rPr>
        <w:t xml:space="preserve"> has fewer Band A and B properties than the Warwickshire or England average, but more higher-banded properties.</w:t>
      </w:r>
    </w:p>
    <w:p w14:paraId="18B479D6" w14:textId="4E0BAEE0" w:rsidR="003F20B1" w:rsidRPr="000C2EB7" w:rsidRDefault="003F20B1" w:rsidP="00100884">
      <w:pPr>
        <w:pStyle w:val="NoSpacing"/>
        <w:rPr>
          <w:color w:val="FF0000"/>
        </w:rPr>
      </w:pPr>
    </w:p>
    <w:p w14:paraId="039B5826" w14:textId="16849349" w:rsidR="00FF2AA8" w:rsidRPr="00AC7BD8" w:rsidRDefault="00FF2AA8" w:rsidP="00AC7BD8">
      <w:pPr>
        <w:pStyle w:val="Caption"/>
        <w:keepNext/>
        <w:ind w:hanging="11"/>
        <w:rPr>
          <w:i w:val="0"/>
          <w:iCs w:val="0"/>
          <w:color w:val="auto"/>
          <w:sz w:val="22"/>
          <w:szCs w:val="22"/>
        </w:rPr>
      </w:pPr>
      <w:r w:rsidRPr="00AC7BD8">
        <w:rPr>
          <w:i w:val="0"/>
          <w:iCs w:val="0"/>
          <w:color w:val="auto"/>
          <w:sz w:val="22"/>
          <w:szCs w:val="22"/>
        </w:rPr>
        <w:t xml:space="preserve">Figure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Figure \* ARABIC </w:instrText>
      </w:r>
      <w:r w:rsidR="00F61229" w:rsidRPr="00AC7BD8">
        <w:rPr>
          <w:i w:val="0"/>
          <w:iCs w:val="0"/>
          <w:color w:val="auto"/>
          <w:sz w:val="22"/>
          <w:szCs w:val="22"/>
        </w:rPr>
        <w:fldChar w:fldCharType="separate"/>
      </w:r>
      <w:r w:rsidR="000223A1" w:rsidRPr="00AC7BD8">
        <w:rPr>
          <w:i w:val="0"/>
          <w:iCs w:val="0"/>
          <w:noProof/>
          <w:color w:val="auto"/>
          <w:sz w:val="22"/>
          <w:szCs w:val="22"/>
        </w:rPr>
        <w:t>9</w:t>
      </w:r>
      <w:r w:rsidR="00F61229" w:rsidRPr="00AC7BD8">
        <w:rPr>
          <w:i w:val="0"/>
          <w:iCs w:val="0"/>
          <w:noProof/>
          <w:color w:val="auto"/>
          <w:sz w:val="22"/>
          <w:szCs w:val="22"/>
        </w:rPr>
        <w:fldChar w:fldCharType="end"/>
      </w:r>
    </w:p>
    <w:p w14:paraId="5B3E1559" w14:textId="67A5AC25" w:rsidR="00F850F1" w:rsidRPr="000C2EB7" w:rsidRDefault="000735D4" w:rsidP="00E51A45">
      <w:pPr>
        <w:pStyle w:val="NoSpacing"/>
        <w:jc w:val="center"/>
        <w:rPr>
          <w:color w:val="FF0000"/>
        </w:rPr>
      </w:pPr>
      <w:r>
        <w:rPr>
          <w:noProof/>
        </w:rPr>
        <w:drawing>
          <wp:inline distT="0" distB="0" distL="0" distR="0" wp14:anchorId="7E09B10B" wp14:editId="13809877">
            <wp:extent cx="6028055" cy="2475230"/>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028055" cy="2475230"/>
                    </a:xfrm>
                    <a:prstGeom prst="rect">
                      <a:avLst/>
                    </a:prstGeom>
                  </pic:spPr>
                </pic:pic>
              </a:graphicData>
            </a:graphic>
          </wp:inline>
        </w:drawing>
      </w:r>
    </w:p>
    <w:p w14:paraId="2BF185C8" w14:textId="4E257DEC" w:rsidR="003F20B1" w:rsidRPr="000C2EB7" w:rsidRDefault="003F20B1" w:rsidP="003F20B1">
      <w:pPr>
        <w:pStyle w:val="NoSpacing"/>
        <w:rPr>
          <w:color w:val="FF0000"/>
        </w:rPr>
      </w:pPr>
    </w:p>
    <w:p w14:paraId="26564935" w14:textId="3C1183AA" w:rsidR="0030146E" w:rsidRPr="00E55171" w:rsidRDefault="00626E83" w:rsidP="00610EF3">
      <w:pPr>
        <w:pStyle w:val="ListParagraph"/>
        <w:numPr>
          <w:ilvl w:val="1"/>
          <w:numId w:val="20"/>
        </w:numPr>
        <w:contextualSpacing w:val="0"/>
        <w:jc w:val="left"/>
        <w:rPr>
          <w:b/>
          <w:i/>
          <w:iCs/>
          <w:sz w:val="22"/>
          <w:szCs w:val="22"/>
        </w:rPr>
      </w:pPr>
      <w:r w:rsidRPr="00E55171">
        <w:rPr>
          <w:b/>
          <w:i/>
          <w:iCs/>
          <w:sz w:val="22"/>
          <w:szCs w:val="22"/>
        </w:rPr>
        <w:t xml:space="preserve">House </w:t>
      </w:r>
      <w:r w:rsidR="007F3F7A" w:rsidRPr="00E55171">
        <w:rPr>
          <w:b/>
          <w:i/>
          <w:iCs/>
          <w:sz w:val="22"/>
          <w:szCs w:val="22"/>
        </w:rPr>
        <w:t>B</w:t>
      </w:r>
      <w:r w:rsidRPr="00E55171">
        <w:rPr>
          <w:b/>
          <w:i/>
          <w:iCs/>
          <w:sz w:val="22"/>
          <w:szCs w:val="22"/>
        </w:rPr>
        <w:t>uilding</w:t>
      </w:r>
      <w:r w:rsidR="002067EA" w:rsidRPr="00E55171">
        <w:rPr>
          <w:b/>
          <w:i/>
          <w:iCs/>
          <w:sz w:val="22"/>
          <w:szCs w:val="22"/>
        </w:rPr>
        <w:t xml:space="preserve"> </w:t>
      </w:r>
    </w:p>
    <w:p w14:paraId="326F505A" w14:textId="70EED74F" w:rsidR="003A0454" w:rsidRPr="00610EF3" w:rsidRDefault="005362B2" w:rsidP="00610EF3">
      <w:pPr>
        <w:pStyle w:val="ListParagraph"/>
        <w:numPr>
          <w:ilvl w:val="3"/>
          <w:numId w:val="20"/>
        </w:numPr>
        <w:ind w:left="709" w:right="421" w:hanging="709"/>
        <w:contextualSpacing w:val="0"/>
        <w:jc w:val="left"/>
        <w:rPr>
          <w:sz w:val="22"/>
          <w:szCs w:val="22"/>
        </w:rPr>
      </w:pPr>
      <w:r w:rsidRPr="007C7922">
        <w:rPr>
          <w:sz w:val="22"/>
          <w:szCs w:val="22"/>
        </w:rPr>
        <w:t>A</w:t>
      </w:r>
      <w:r w:rsidR="00E029B8" w:rsidRPr="007C7922">
        <w:rPr>
          <w:sz w:val="22"/>
          <w:szCs w:val="22"/>
        </w:rPr>
        <w:t xml:space="preserve"> total net of </w:t>
      </w:r>
      <w:r w:rsidR="009C3C86" w:rsidRPr="007C7922">
        <w:rPr>
          <w:sz w:val="22"/>
          <w:szCs w:val="22"/>
        </w:rPr>
        <w:t>748</w:t>
      </w:r>
      <w:r w:rsidR="0009691A" w:rsidRPr="007C7922">
        <w:rPr>
          <w:sz w:val="22"/>
          <w:szCs w:val="22"/>
        </w:rPr>
        <w:t xml:space="preserve"> </w:t>
      </w:r>
      <w:r w:rsidR="00E029B8" w:rsidRPr="007C7922">
        <w:rPr>
          <w:sz w:val="22"/>
          <w:szCs w:val="22"/>
        </w:rPr>
        <w:t xml:space="preserve">new </w:t>
      </w:r>
      <w:r w:rsidR="0009691A" w:rsidRPr="007C7922">
        <w:rPr>
          <w:sz w:val="22"/>
          <w:szCs w:val="22"/>
        </w:rPr>
        <w:t>dwellings were</w:t>
      </w:r>
      <w:r w:rsidR="00E029B8" w:rsidRPr="007C7922">
        <w:rPr>
          <w:sz w:val="22"/>
          <w:szCs w:val="22"/>
        </w:rPr>
        <w:t xml:space="preserve"> added to the housing stock</w:t>
      </w:r>
      <w:r w:rsidR="0009691A" w:rsidRPr="007C7922">
        <w:rPr>
          <w:sz w:val="22"/>
          <w:szCs w:val="22"/>
        </w:rPr>
        <w:t xml:space="preserve"> </w:t>
      </w:r>
      <w:r w:rsidR="00E029B8" w:rsidRPr="007C7922">
        <w:rPr>
          <w:sz w:val="22"/>
          <w:szCs w:val="22"/>
        </w:rPr>
        <w:t xml:space="preserve">in </w:t>
      </w:r>
      <w:r w:rsidR="005210E3" w:rsidRPr="007C7922">
        <w:rPr>
          <w:sz w:val="22"/>
          <w:szCs w:val="22"/>
        </w:rPr>
        <w:t>202</w:t>
      </w:r>
      <w:r w:rsidR="00AF31AE" w:rsidRPr="007C7922">
        <w:rPr>
          <w:sz w:val="22"/>
          <w:szCs w:val="22"/>
        </w:rPr>
        <w:t>1</w:t>
      </w:r>
      <w:r w:rsidR="00F473C3" w:rsidRPr="007C7922">
        <w:rPr>
          <w:rStyle w:val="EndnoteReference"/>
          <w:sz w:val="22"/>
          <w:szCs w:val="22"/>
        </w:rPr>
        <w:endnoteReference w:id="17"/>
      </w:r>
      <w:r w:rsidR="00EC3D80" w:rsidRPr="007C7922">
        <w:rPr>
          <w:sz w:val="22"/>
          <w:szCs w:val="22"/>
        </w:rPr>
        <w:t>.</w:t>
      </w:r>
      <w:r w:rsidR="00194059" w:rsidRPr="007C7922">
        <w:rPr>
          <w:sz w:val="22"/>
          <w:szCs w:val="22"/>
        </w:rPr>
        <w:t xml:space="preserve"> This represented </w:t>
      </w:r>
      <w:r w:rsidR="00E029B8" w:rsidRPr="007C7922">
        <w:rPr>
          <w:sz w:val="22"/>
          <w:szCs w:val="22"/>
        </w:rPr>
        <w:t>83.7</w:t>
      </w:r>
      <w:r w:rsidR="00194059" w:rsidRPr="007C7922">
        <w:rPr>
          <w:sz w:val="22"/>
          <w:szCs w:val="22"/>
        </w:rPr>
        <w:t>% of the target for total new</w:t>
      </w:r>
      <w:r w:rsidR="008177EF" w:rsidRPr="007C7922">
        <w:rPr>
          <w:sz w:val="22"/>
          <w:szCs w:val="22"/>
        </w:rPr>
        <w:t xml:space="preserve"> dwelling completions in 20</w:t>
      </w:r>
      <w:r w:rsidR="00E029B8" w:rsidRPr="007C7922">
        <w:rPr>
          <w:sz w:val="22"/>
          <w:szCs w:val="22"/>
        </w:rPr>
        <w:t>20</w:t>
      </w:r>
      <w:r w:rsidR="008177EF" w:rsidRPr="007C7922">
        <w:rPr>
          <w:sz w:val="22"/>
          <w:szCs w:val="22"/>
        </w:rPr>
        <w:t>/</w:t>
      </w:r>
      <w:r w:rsidR="007C7922">
        <w:rPr>
          <w:sz w:val="22"/>
          <w:szCs w:val="22"/>
        </w:rPr>
        <w:t>21</w:t>
      </w:r>
      <w:r w:rsidR="008177EF" w:rsidRPr="007C7922">
        <w:rPr>
          <w:sz w:val="22"/>
          <w:szCs w:val="22"/>
        </w:rPr>
        <w:t xml:space="preserve">, </w:t>
      </w:r>
      <w:r w:rsidR="007C7922" w:rsidRPr="007C7922">
        <w:rPr>
          <w:sz w:val="22"/>
          <w:szCs w:val="22"/>
        </w:rPr>
        <w:t>146</w:t>
      </w:r>
      <w:r w:rsidR="008177EF" w:rsidRPr="007C7922">
        <w:rPr>
          <w:sz w:val="22"/>
          <w:szCs w:val="22"/>
        </w:rPr>
        <w:t xml:space="preserve"> </w:t>
      </w:r>
      <w:r w:rsidR="007C7922" w:rsidRPr="007C7922">
        <w:rPr>
          <w:sz w:val="22"/>
          <w:szCs w:val="22"/>
        </w:rPr>
        <w:t>under</w:t>
      </w:r>
      <w:r w:rsidR="003F21DE" w:rsidRPr="007C7922">
        <w:rPr>
          <w:sz w:val="22"/>
          <w:szCs w:val="22"/>
        </w:rPr>
        <w:t xml:space="preserve"> target</w:t>
      </w:r>
      <w:r w:rsidR="00194059" w:rsidRPr="007C7922">
        <w:rPr>
          <w:sz w:val="22"/>
          <w:szCs w:val="22"/>
        </w:rPr>
        <w:t xml:space="preserve">. </w:t>
      </w:r>
    </w:p>
    <w:p w14:paraId="3EB96BBC" w14:textId="535572A1" w:rsidR="00B67EBF" w:rsidRPr="00F61229" w:rsidRDefault="008177EF" w:rsidP="00610EF3">
      <w:pPr>
        <w:pStyle w:val="ListParagraph"/>
        <w:numPr>
          <w:ilvl w:val="3"/>
          <w:numId w:val="20"/>
        </w:numPr>
        <w:ind w:left="709" w:right="421" w:hanging="709"/>
        <w:contextualSpacing w:val="0"/>
        <w:jc w:val="left"/>
        <w:rPr>
          <w:color w:val="000000" w:themeColor="text1"/>
          <w:sz w:val="22"/>
          <w:szCs w:val="22"/>
        </w:rPr>
      </w:pPr>
      <w:r w:rsidRPr="003A0454">
        <w:rPr>
          <w:sz w:val="22"/>
          <w:szCs w:val="22"/>
        </w:rPr>
        <w:t xml:space="preserve">Figure </w:t>
      </w:r>
      <w:r w:rsidR="00B67EBF" w:rsidRPr="003A0454">
        <w:rPr>
          <w:sz w:val="22"/>
          <w:szCs w:val="22"/>
        </w:rPr>
        <w:t>10</w:t>
      </w:r>
      <w:r w:rsidR="0009691A" w:rsidRPr="003A0454">
        <w:rPr>
          <w:sz w:val="22"/>
          <w:szCs w:val="22"/>
        </w:rPr>
        <w:t xml:space="preserve"> shows th</w:t>
      </w:r>
      <w:r w:rsidR="007C7922" w:rsidRPr="003A0454">
        <w:rPr>
          <w:sz w:val="22"/>
          <w:szCs w:val="22"/>
        </w:rPr>
        <w:t xml:space="preserve">e performance against target </w:t>
      </w:r>
      <w:r w:rsidR="00AA3556" w:rsidRPr="003A0454">
        <w:rPr>
          <w:sz w:val="22"/>
          <w:szCs w:val="22"/>
        </w:rPr>
        <w:t>for</w:t>
      </w:r>
      <w:r w:rsidR="0009691A" w:rsidRPr="003A0454">
        <w:rPr>
          <w:sz w:val="22"/>
          <w:szCs w:val="22"/>
        </w:rPr>
        <w:t xml:space="preserve"> </w:t>
      </w:r>
      <w:r w:rsidR="00234FEA" w:rsidRPr="003A0454">
        <w:rPr>
          <w:sz w:val="22"/>
          <w:szCs w:val="22"/>
        </w:rPr>
        <w:t xml:space="preserve">net </w:t>
      </w:r>
      <w:r w:rsidR="00AA3556" w:rsidRPr="003A0454">
        <w:rPr>
          <w:sz w:val="22"/>
          <w:szCs w:val="22"/>
        </w:rPr>
        <w:t xml:space="preserve">new </w:t>
      </w:r>
      <w:r w:rsidR="0009691A" w:rsidRPr="003A0454">
        <w:rPr>
          <w:sz w:val="22"/>
          <w:szCs w:val="22"/>
        </w:rPr>
        <w:t>dwellings</w:t>
      </w:r>
      <w:r w:rsidR="00257D90" w:rsidRPr="003A0454">
        <w:rPr>
          <w:sz w:val="22"/>
          <w:szCs w:val="22"/>
        </w:rPr>
        <w:t xml:space="preserve"> </w:t>
      </w:r>
      <w:r w:rsidR="0009691A" w:rsidRPr="003A0454">
        <w:rPr>
          <w:sz w:val="22"/>
          <w:szCs w:val="22"/>
        </w:rPr>
        <w:t xml:space="preserve">in the </w:t>
      </w:r>
      <w:r w:rsidR="001D61F1" w:rsidRPr="003A0454">
        <w:rPr>
          <w:sz w:val="22"/>
          <w:szCs w:val="22"/>
        </w:rPr>
        <w:t>District</w:t>
      </w:r>
      <w:r w:rsidR="00F9163B" w:rsidRPr="003A0454">
        <w:rPr>
          <w:sz w:val="22"/>
          <w:szCs w:val="22"/>
        </w:rPr>
        <w:t xml:space="preserve">. </w:t>
      </w:r>
      <w:r w:rsidR="00B414D7" w:rsidRPr="003A0454">
        <w:rPr>
          <w:sz w:val="22"/>
          <w:szCs w:val="22"/>
        </w:rPr>
        <w:t>This is the first year in the last seven years where net new dwellings have fallen short of the target.</w:t>
      </w:r>
      <w:r w:rsidR="000B1A5F">
        <w:rPr>
          <w:sz w:val="22"/>
          <w:szCs w:val="22"/>
        </w:rPr>
        <w:t xml:space="preserve"> </w:t>
      </w:r>
      <w:r w:rsidR="000B1A5F" w:rsidRPr="00F61229">
        <w:rPr>
          <w:color w:val="000000" w:themeColor="text1"/>
          <w:sz w:val="22"/>
          <w:szCs w:val="22"/>
        </w:rPr>
        <w:t>This was largely because of the impact of Covid restrictions.</w:t>
      </w:r>
    </w:p>
    <w:p w14:paraId="7E5ABFA8" w14:textId="749140BC" w:rsidR="00FF2AA8" w:rsidRPr="00AC7BD8" w:rsidRDefault="00FF2AA8" w:rsidP="00610EF3">
      <w:pPr>
        <w:pStyle w:val="Caption"/>
        <w:keepNext/>
        <w:spacing w:after="120"/>
        <w:ind w:hanging="11"/>
        <w:jc w:val="left"/>
        <w:rPr>
          <w:i w:val="0"/>
          <w:iCs w:val="0"/>
          <w:color w:val="auto"/>
          <w:sz w:val="22"/>
          <w:szCs w:val="22"/>
        </w:rPr>
      </w:pPr>
      <w:r w:rsidRPr="00AC7BD8">
        <w:rPr>
          <w:i w:val="0"/>
          <w:iCs w:val="0"/>
          <w:color w:val="auto"/>
          <w:sz w:val="22"/>
          <w:szCs w:val="22"/>
        </w:rPr>
        <w:lastRenderedPageBreak/>
        <w:t xml:space="preserve">Figure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Figure \* ARABIC </w:instrText>
      </w:r>
      <w:r w:rsidR="00F61229" w:rsidRPr="00AC7BD8">
        <w:rPr>
          <w:i w:val="0"/>
          <w:iCs w:val="0"/>
          <w:color w:val="auto"/>
          <w:sz w:val="22"/>
          <w:szCs w:val="22"/>
        </w:rPr>
        <w:fldChar w:fldCharType="separate"/>
      </w:r>
      <w:r w:rsidR="000223A1" w:rsidRPr="00AC7BD8">
        <w:rPr>
          <w:i w:val="0"/>
          <w:iCs w:val="0"/>
          <w:noProof/>
          <w:color w:val="auto"/>
          <w:sz w:val="22"/>
          <w:szCs w:val="22"/>
        </w:rPr>
        <w:t>10</w:t>
      </w:r>
      <w:r w:rsidR="00F61229" w:rsidRPr="00AC7BD8">
        <w:rPr>
          <w:i w:val="0"/>
          <w:iCs w:val="0"/>
          <w:noProof/>
          <w:color w:val="auto"/>
          <w:sz w:val="22"/>
          <w:szCs w:val="22"/>
        </w:rPr>
        <w:fldChar w:fldCharType="end"/>
      </w:r>
    </w:p>
    <w:p w14:paraId="45B81D61" w14:textId="11F000B0" w:rsidR="000B4F3D" w:rsidRPr="00B67EBF" w:rsidRDefault="000B4F3D" w:rsidP="000B4F3D">
      <w:pPr>
        <w:ind w:left="0" w:firstLine="0"/>
        <w:jc w:val="center"/>
        <w:rPr>
          <w:i/>
          <w:color w:val="1F497D" w:themeColor="text2"/>
          <w:sz w:val="18"/>
          <w:szCs w:val="18"/>
        </w:rPr>
      </w:pPr>
      <w:r>
        <w:rPr>
          <w:i/>
          <w:noProof/>
          <w:color w:val="1F497D" w:themeColor="text2"/>
          <w:sz w:val="18"/>
          <w:szCs w:val="18"/>
        </w:rPr>
        <w:drawing>
          <wp:inline distT="0" distB="0" distL="0" distR="0" wp14:anchorId="1A4AE4E9" wp14:editId="63EAEFF6">
            <wp:extent cx="5179440" cy="3124200"/>
            <wp:effectExtent l="0" t="0" r="254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7482" cy="3135083"/>
                    </a:xfrm>
                    <a:prstGeom prst="rect">
                      <a:avLst/>
                    </a:prstGeom>
                    <a:noFill/>
                  </pic:spPr>
                </pic:pic>
              </a:graphicData>
            </a:graphic>
          </wp:inline>
        </w:drawing>
      </w:r>
    </w:p>
    <w:p w14:paraId="55D4B459" w14:textId="54C9F362" w:rsidR="0009691A" w:rsidRPr="003B220D" w:rsidRDefault="008177EF" w:rsidP="00034A2D">
      <w:pPr>
        <w:pStyle w:val="ListParagraph"/>
        <w:numPr>
          <w:ilvl w:val="3"/>
          <w:numId w:val="20"/>
        </w:numPr>
        <w:ind w:left="709" w:right="421" w:hanging="709"/>
        <w:jc w:val="left"/>
        <w:rPr>
          <w:sz w:val="22"/>
          <w:szCs w:val="22"/>
        </w:rPr>
      </w:pPr>
      <w:r w:rsidRPr="003B220D">
        <w:rPr>
          <w:sz w:val="22"/>
          <w:szCs w:val="22"/>
        </w:rPr>
        <w:t xml:space="preserve">Figure </w:t>
      </w:r>
      <w:r w:rsidR="000E1229" w:rsidRPr="003B220D">
        <w:rPr>
          <w:sz w:val="22"/>
          <w:szCs w:val="22"/>
        </w:rPr>
        <w:t>1</w:t>
      </w:r>
      <w:r w:rsidR="001D755D" w:rsidRPr="003B220D">
        <w:rPr>
          <w:sz w:val="22"/>
          <w:szCs w:val="22"/>
        </w:rPr>
        <w:t>1</w:t>
      </w:r>
      <w:r w:rsidR="00F60D30" w:rsidRPr="003B220D">
        <w:rPr>
          <w:sz w:val="22"/>
          <w:szCs w:val="22"/>
        </w:rPr>
        <w:t xml:space="preserve"> shows the net dwelling completions per settlement type over the past eight years</w:t>
      </w:r>
      <w:r w:rsidR="00634A3F">
        <w:rPr>
          <w:rStyle w:val="EndnoteReference"/>
          <w:sz w:val="22"/>
          <w:szCs w:val="22"/>
        </w:rPr>
        <w:endnoteReference w:id="18"/>
      </w:r>
      <w:r w:rsidR="00F60D30" w:rsidRPr="003B220D">
        <w:rPr>
          <w:sz w:val="22"/>
          <w:szCs w:val="22"/>
        </w:rPr>
        <w:t xml:space="preserve">. There has been a definite change over this time in where new dwellings are being built. While Stratford-upon-Avon saw the majority of new builds in 2011-14, </w:t>
      </w:r>
      <w:r w:rsidR="008773B0" w:rsidRPr="003B220D">
        <w:rPr>
          <w:sz w:val="22"/>
          <w:szCs w:val="22"/>
        </w:rPr>
        <w:t>between 2015-</w:t>
      </w:r>
      <w:r w:rsidR="00C20FA2" w:rsidRPr="003B220D">
        <w:rPr>
          <w:sz w:val="22"/>
          <w:szCs w:val="22"/>
        </w:rPr>
        <w:t>2020</w:t>
      </w:r>
      <w:r w:rsidR="00F60D30" w:rsidRPr="003B220D">
        <w:rPr>
          <w:sz w:val="22"/>
          <w:szCs w:val="22"/>
        </w:rPr>
        <w:t xml:space="preserve"> main rural centres and local service villages </w:t>
      </w:r>
      <w:r w:rsidR="00C20FA2" w:rsidRPr="003B220D">
        <w:rPr>
          <w:sz w:val="22"/>
          <w:szCs w:val="22"/>
        </w:rPr>
        <w:t>saw</w:t>
      </w:r>
      <w:r w:rsidR="00F60D30" w:rsidRPr="003B220D">
        <w:rPr>
          <w:sz w:val="22"/>
          <w:szCs w:val="22"/>
        </w:rPr>
        <w:t xml:space="preserve"> the majority of new house building</w:t>
      </w:r>
      <w:r w:rsidR="00C20FA2" w:rsidRPr="003B220D">
        <w:rPr>
          <w:sz w:val="22"/>
          <w:szCs w:val="22"/>
        </w:rPr>
        <w:t>; in 2021,</w:t>
      </w:r>
      <w:r w:rsidR="003B220D" w:rsidRPr="003B220D">
        <w:rPr>
          <w:sz w:val="22"/>
          <w:szCs w:val="22"/>
        </w:rPr>
        <w:t xml:space="preserve"> while nearly half of all new dwellings were located in main rural centres,</w:t>
      </w:r>
      <w:r w:rsidR="00C20FA2" w:rsidRPr="003B220D">
        <w:rPr>
          <w:sz w:val="22"/>
          <w:szCs w:val="22"/>
        </w:rPr>
        <w:t xml:space="preserve"> </w:t>
      </w:r>
      <w:r w:rsidR="003B220D" w:rsidRPr="003B220D">
        <w:rPr>
          <w:sz w:val="22"/>
          <w:szCs w:val="22"/>
        </w:rPr>
        <w:t xml:space="preserve">there was </w:t>
      </w:r>
      <w:r w:rsidR="00C20FA2" w:rsidRPr="003B220D">
        <w:rPr>
          <w:sz w:val="22"/>
          <w:szCs w:val="22"/>
        </w:rPr>
        <w:t xml:space="preserve">a significant </w:t>
      </w:r>
      <w:r w:rsidR="003B220D" w:rsidRPr="003B220D">
        <w:rPr>
          <w:sz w:val="22"/>
          <w:szCs w:val="22"/>
        </w:rPr>
        <w:t xml:space="preserve">rise in the </w:t>
      </w:r>
      <w:r w:rsidR="00C20FA2" w:rsidRPr="003B220D">
        <w:rPr>
          <w:sz w:val="22"/>
          <w:szCs w:val="22"/>
        </w:rPr>
        <w:t>proportion of new dwellings located in new settlements.</w:t>
      </w:r>
    </w:p>
    <w:p w14:paraId="5796ADBC" w14:textId="22F762BD" w:rsidR="00FF2AA8" w:rsidRPr="00AC7BD8" w:rsidRDefault="00FF2AA8" w:rsidP="00AC7BD8">
      <w:pPr>
        <w:pStyle w:val="Caption"/>
        <w:keepNext/>
        <w:ind w:hanging="11"/>
        <w:rPr>
          <w:i w:val="0"/>
          <w:iCs w:val="0"/>
          <w:color w:val="auto"/>
          <w:sz w:val="22"/>
          <w:szCs w:val="22"/>
        </w:rPr>
      </w:pPr>
      <w:r w:rsidRPr="00AC7BD8">
        <w:rPr>
          <w:i w:val="0"/>
          <w:iCs w:val="0"/>
          <w:color w:val="auto"/>
          <w:sz w:val="22"/>
          <w:szCs w:val="22"/>
        </w:rPr>
        <w:lastRenderedPageBreak/>
        <w:t xml:space="preserve">Figure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Figure \* ARABIC </w:instrText>
      </w:r>
      <w:r w:rsidR="00F61229" w:rsidRPr="00AC7BD8">
        <w:rPr>
          <w:i w:val="0"/>
          <w:iCs w:val="0"/>
          <w:color w:val="auto"/>
          <w:sz w:val="22"/>
          <w:szCs w:val="22"/>
        </w:rPr>
        <w:fldChar w:fldCharType="separate"/>
      </w:r>
      <w:r w:rsidR="000223A1" w:rsidRPr="00AC7BD8">
        <w:rPr>
          <w:i w:val="0"/>
          <w:iCs w:val="0"/>
          <w:noProof/>
          <w:color w:val="auto"/>
          <w:sz w:val="22"/>
          <w:szCs w:val="22"/>
        </w:rPr>
        <w:t>11</w:t>
      </w:r>
      <w:r w:rsidR="00F61229" w:rsidRPr="00AC7BD8">
        <w:rPr>
          <w:i w:val="0"/>
          <w:iCs w:val="0"/>
          <w:noProof/>
          <w:color w:val="auto"/>
          <w:sz w:val="22"/>
          <w:szCs w:val="22"/>
        </w:rPr>
        <w:fldChar w:fldCharType="end"/>
      </w:r>
    </w:p>
    <w:p w14:paraId="5BFFA98D" w14:textId="16B9D1EB" w:rsidR="007D0F61" w:rsidRPr="007D0F61" w:rsidRDefault="007D0F61" w:rsidP="00E51A45">
      <w:pPr>
        <w:jc w:val="center"/>
      </w:pPr>
      <w:r>
        <w:rPr>
          <w:noProof/>
        </w:rPr>
        <w:drawing>
          <wp:inline distT="0" distB="0" distL="0" distR="0" wp14:anchorId="7E38BD3C" wp14:editId="191FA3A5">
            <wp:extent cx="6197497" cy="54768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08683" cy="5486760"/>
                    </a:xfrm>
                    <a:prstGeom prst="rect">
                      <a:avLst/>
                    </a:prstGeom>
                    <a:noFill/>
                  </pic:spPr>
                </pic:pic>
              </a:graphicData>
            </a:graphic>
          </wp:inline>
        </w:drawing>
      </w:r>
    </w:p>
    <w:p w14:paraId="601CF036" w14:textId="12438AE3" w:rsidR="00100884" w:rsidRPr="00280051" w:rsidRDefault="00100884" w:rsidP="00280051">
      <w:pPr>
        <w:pStyle w:val="NoSpacing"/>
      </w:pPr>
    </w:p>
    <w:p w14:paraId="3C19608A" w14:textId="3F5AC29B" w:rsidR="00C826E7" w:rsidRPr="00634A3F" w:rsidRDefault="00700DE9" w:rsidP="00034A2D">
      <w:pPr>
        <w:pStyle w:val="ListParagraph"/>
        <w:numPr>
          <w:ilvl w:val="3"/>
          <w:numId w:val="20"/>
        </w:numPr>
        <w:ind w:left="709" w:right="421" w:hanging="709"/>
        <w:jc w:val="left"/>
        <w:rPr>
          <w:sz w:val="22"/>
          <w:szCs w:val="22"/>
        </w:rPr>
      </w:pPr>
      <w:r w:rsidRPr="00634A3F">
        <w:rPr>
          <w:sz w:val="22"/>
          <w:szCs w:val="22"/>
        </w:rPr>
        <w:t xml:space="preserve">Affordable housing has </w:t>
      </w:r>
      <w:r w:rsidR="0076453B" w:rsidRPr="00634A3F">
        <w:rPr>
          <w:sz w:val="22"/>
          <w:szCs w:val="22"/>
        </w:rPr>
        <w:t xml:space="preserve">made up an average of </w:t>
      </w:r>
      <w:r w:rsidRPr="00634A3F">
        <w:rPr>
          <w:sz w:val="22"/>
          <w:szCs w:val="22"/>
        </w:rPr>
        <w:t xml:space="preserve">29% of all new dwellings completed </w:t>
      </w:r>
      <w:r w:rsidR="0076453B" w:rsidRPr="00634A3F">
        <w:rPr>
          <w:sz w:val="22"/>
          <w:szCs w:val="22"/>
        </w:rPr>
        <w:t>since 2012</w:t>
      </w:r>
      <w:r w:rsidR="00634A3F">
        <w:rPr>
          <w:rStyle w:val="EndnoteReference"/>
          <w:sz w:val="22"/>
          <w:szCs w:val="22"/>
        </w:rPr>
        <w:endnoteReference w:id="19"/>
      </w:r>
      <w:r w:rsidR="0076453B" w:rsidRPr="00634A3F">
        <w:rPr>
          <w:sz w:val="22"/>
          <w:szCs w:val="22"/>
        </w:rPr>
        <w:t xml:space="preserve">. In </w:t>
      </w:r>
      <w:r w:rsidR="008E0C91" w:rsidRPr="00634A3F">
        <w:rPr>
          <w:sz w:val="22"/>
          <w:szCs w:val="22"/>
        </w:rPr>
        <w:t>2020/21,</w:t>
      </w:r>
      <w:r w:rsidR="0076453B" w:rsidRPr="00634A3F">
        <w:rPr>
          <w:sz w:val="22"/>
          <w:szCs w:val="22"/>
        </w:rPr>
        <w:t xml:space="preserve"> affordable housing made up </w:t>
      </w:r>
      <w:r w:rsidR="008E0C91" w:rsidRPr="00634A3F">
        <w:rPr>
          <w:sz w:val="22"/>
          <w:szCs w:val="22"/>
        </w:rPr>
        <w:t>51</w:t>
      </w:r>
      <w:r w:rsidR="0076453B" w:rsidRPr="00634A3F">
        <w:rPr>
          <w:sz w:val="22"/>
          <w:szCs w:val="22"/>
        </w:rPr>
        <w:t xml:space="preserve">.5% of new completions (see Figure </w:t>
      </w:r>
      <w:r w:rsidR="000E1229" w:rsidRPr="00634A3F">
        <w:rPr>
          <w:sz w:val="22"/>
          <w:szCs w:val="22"/>
        </w:rPr>
        <w:t>1</w:t>
      </w:r>
      <w:r w:rsidR="008E0C91" w:rsidRPr="00634A3F">
        <w:rPr>
          <w:sz w:val="22"/>
          <w:szCs w:val="22"/>
        </w:rPr>
        <w:t>2</w:t>
      </w:r>
      <w:r w:rsidR="0076453B" w:rsidRPr="00634A3F">
        <w:rPr>
          <w:sz w:val="22"/>
          <w:szCs w:val="22"/>
        </w:rPr>
        <w:t>).</w:t>
      </w:r>
    </w:p>
    <w:p w14:paraId="23F51482" w14:textId="0B6F8CAD" w:rsidR="00FF2AA8" w:rsidRPr="00AC7BD8" w:rsidRDefault="00FF2AA8" w:rsidP="00AC7BD8">
      <w:pPr>
        <w:pStyle w:val="Caption"/>
        <w:keepNext/>
        <w:ind w:hanging="11"/>
        <w:rPr>
          <w:i w:val="0"/>
          <w:iCs w:val="0"/>
          <w:color w:val="auto"/>
          <w:sz w:val="22"/>
          <w:szCs w:val="22"/>
        </w:rPr>
      </w:pPr>
      <w:r w:rsidRPr="00AC7BD8">
        <w:rPr>
          <w:i w:val="0"/>
          <w:iCs w:val="0"/>
          <w:color w:val="auto"/>
          <w:sz w:val="22"/>
          <w:szCs w:val="22"/>
        </w:rPr>
        <w:lastRenderedPageBreak/>
        <w:t xml:space="preserve">Figure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Figure \* ARABIC </w:instrText>
      </w:r>
      <w:r w:rsidR="00F61229" w:rsidRPr="00AC7BD8">
        <w:rPr>
          <w:i w:val="0"/>
          <w:iCs w:val="0"/>
          <w:color w:val="auto"/>
          <w:sz w:val="22"/>
          <w:szCs w:val="22"/>
        </w:rPr>
        <w:fldChar w:fldCharType="separate"/>
      </w:r>
      <w:r w:rsidR="000223A1" w:rsidRPr="00AC7BD8">
        <w:rPr>
          <w:i w:val="0"/>
          <w:iCs w:val="0"/>
          <w:noProof/>
          <w:color w:val="auto"/>
          <w:sz w:val="22"/>
          <w:szCs w:val="22"/>
        </w:rPr>
        <w:t>12</w:t>
      </w:r>
      <w:r w:rsidR="00F61229" w:rsidRPr="00AC7BD8">
        <w:rPr>
          <w:i w:val="0"/>
          <w:iCs w:val="0"/>
          <w:noProof/>
          <w:color w:val="auto"/>
          <w:sz w:val="22"/>
          <w:szCs w:val="22"/>
        </w:rPr>
        <w:fldChar w:fldCharType="end"/>
      </w:r>
    </w:p>
    <w:p w14:paraId="12185B25" w14:textId="1361C09D" w:rsidR="00BF2C19" w:rsidRPr="00BF2C19" w:rsidRDefault="00BF2C19" w:rsidP="00E51A45">
      <w:pPr>
        <w:jc w:val="center"/>
      </w:pPr>
      <w:r>
        <w:rPr>
          <w:noProof/>
        </w:rPr>
        <w:drawing>
          <wp:inline distT="0" distB="0" distL="0" distR="0" wp14:anchorId="7447C654" wp14:editId="298BED36">
            <wp:extent cx="5815628" cy="3495821"/>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826768" cy="3502517"/>
                    </a:xfrm>
                    <a:prstGeom prst="rect">
                      <a:avLst/>
                    </a:prstGeom>
                    <a:noFill/>
                  </pic:spPr>
                </pic:pic>
              </a:graphicData>
            </a:graphic>
          </wp:inline>
        </w:drawing>
      </w:r>
    </w:p>
    <w:p w14:paraId="52D24059" w14:textId="77777777" w:rsidR="0076453B" w:rsidRPr="000C2EB7" w:rsidRDefault="0076453B" w:rsidP="004316FD">
      <w:pPr>
        <w:pStyle w:val="NoSpacing"/>
        <w:rPr>
          <w:color w:val="FF0000"/>
        </w:rPr>
      </w:pPr>
    </w:p>
    <w:p w14:paraId="475A39C1" w14:textId="002F59C0" w:rsidR="006B47E7" w:rsidRPr="00634A3F" w:rsidRDefault="00EE5DA3" w:rsidP="00034A2D">
      <w:pPr>
        <w:pStyle w:val="ListParagraph"/>
        <w:numPr>
          <w:ilvl w:val="3"/>
          <w:numId w:val="20"/>
        </w:numPr>
        <w:ind w:left="709" w:right="421" w:hanging="709"/>
        <w:jc w:val="left"/>
        <w:rPr>
          <w:sz w:val="22"/>
          <w:szCs w:val="22"/>
        </w:rPr>
      </w:pPr>
      <w:r w:rsidRPr="00634A3F">
        <w:rPr>
          <w:sz w:val="22"/>
          <w:szCs w:val="22"/>
        </w:rPr>
        <w:t>Figure 1</w:t>
      </w:r>
      <w:r w:rsidR="00B76EF0" w:rsidRPr="00634A3F">
        <w:rPr>
          <w:sz w:val="22"/>
          <w:szCs w:val="22"/>
        </w:rPr>
        <w:t>3</w:t>
      </w:r>
      <w:r w:rsidRPr="00634A3F">
        <w:rPr>
          <w:sz w:val="22"/>
          <w:szCs w:val="22"/>
        </w:rPr>
        <w:t xml:space="preserve"> shows the size of new dwellings completed over the past </w:t>
      </w:r>
      <w:r w:rsidR="006B47E7" w:rsidRPr="00634A3F">
        <w:rPr>
          <w:sz w:val="22"/>
          <w:szCs w:val="22"/>
        </w:rPr>
        <w:t>nine years</w:t>
      </w:r>
      <w:r w:rsidR="00634A3F">
        <w:rPr>
          <w:sz w:val="22"/>
          <w:szCs w:val="22"/>
        </w:rPr>
        <w:t xml:space="preserve"> (some new builds are unaccounted for as size is unknown)</w:t>
      </w:r>
      <w:r w:rsidR="00634A3F">
        <w:rPr>
          <w:rStyle w:val="EndnoteReference"/>
          <w:sz w:val="22"/>
          <w:szCs w:val="22"/>
        </w:rPr>
        <w:endnoteReference w:id="20"/>
      </w:r>
      <w:r w:rsidR="00634A3F">
        <w:rPr>
          <w:sz w:val="22"/>
          <w:szCs w:val="22"/>
        </w:rPr>
        <w:t>.</w:t>
      </w:r>
      <w:r w:rsidR="006B47E7" w:rsidRPr="00634A3F">
        <w:rPr>
          <w:sz w:val="22"/>
          <w:szCs w:val="22"/>
        </w:rPr>
        <w:t xml:space="preserve"> In 20</w:t>
      </w:r>
      <w:r w:rsidR="00B76EF0" w:rsidRPr="00634A3F">
        <w:rPr>
          <w:sz w:val="22"/>
          <w:szCs w:val="22"/>
        </w:rPr>
        <w:t>20/21</w:t>
      </w:r>
      <w:r w:rsidRPr="00634A3F">
        <w:rPr>
          <w:sz w:val="22"/>
          <w:szCs w:val="22"/>
        </w:rPr>
        <w:t xml:space="preserve"> </w:t>
      </w:r>
      <w:r w:rsidR="004316FD" w:rsidRPr="00634A3F">
        <w:rPr>
          <w:sz w:val="22"/>
          <w:szCs w:val="22"/>
        </w:rPr>
        <w:t>two</w:t>
      </w:r>
      <w:r w:rsidRPr="00634A3F">
        <w:rPr>
          <w:sz w:val="22"/>
          <w:szCs w:val="22"/>
        </w:rPr>
        <w:t xml:space="preserve"> and </w:t>
      </w:r>
      <w:r w:rsidR="004316FD" w:rsidRPr="00634A3F">
        <w:rPr>
          <w:sz w:val="22"/>
          <w:szCs w:val="22"/>
        </w:rPr>
        <w:t>three</w:t>
      </w:r>
      <w:r w:rsidRPr="00634A3F">
        <w:rPr>
          <w:sz w:val="22"/>
          <w:szCs w:val="22"/>
        </w:rPr>
        <w:t xml:space="preserve"> bed homes made up </w:t>
      </w:r>
      <w:r w:rsidR="004B487B" w:rsidRPr="00634A3F">
        <w:rPr>
          <w:sz w:val="22"/>
          <w:szCs w:val="22"/>
        </w:rPr>
        <w:t xml:space="preserve">just </w:t>
      </w:r>
      <w:r w:rsidR="006B47E7" w:rsidRPr="00634A3F">
        <w:rPr>
          <w:sz w:val="22"/>
          <w:szCs w:val="22"/>
        </w:rPr>
        <w:t>over 70%</w:t>
      </w:r>
      <w:r w:rsidRPr="00634A3F">
        <w:rPr>
          <w:sz w:val="22"/>
          <w:szCs w:val="22"/>
        </w:rPr>
        <w:t xml:space="preserve"> of completions, with </w:t>
      </w:r>
      <w:r w:rsidR="004316FD" w:rsidRPr="00634A3F">
        <w:rPr>
          <w:sz w:val="22"/>
          <w:szCs w:val="22"/>
        </w:rPr>
        <w:t>four</w:t>
      </w:r>
      <w:r w:rsidRPr="00634A3F">
        <w:rPr>
          <w:sz w:val="22"/>
          <w:szCs w:val="22"/>
        </w:rPr>
        <w:t xml:space="preserve">+ beds accounting for </w:t>
      </w:r>
      <w:r w:rsidR="006B47E7" w:rsidRPr="00634A3F">
        <w:rPr>
          <w:sz w:val="22"/>
          <w:szCs w:val="22"/>
        </w:rPr>
        <w:t>approximately 2</w:t>
      </w:r>
      <w:r w:rsidR="00BE5C6E" w:rsidRPr="00634A3F">
        <w:rPr>
          <w:sz w:val="22"/>
          <w:szCs w:val="22"/>
        </w:rPr>
        <w:t>1</w:t>
      </w:r>
      <w:r w:rsidR="006B47E7" w:rsidRPr="00634A3F">
        <w:rPr>
          <w:sz w:val="22"/>
          <w:szCs w:val="22"/>
        </w:rPr>
        <w:t xml:space="preserve">%. </w:t>
      </w:r>
      <w:r w:rsidR="004316FD" w:rsidRPr="00634A3F">
        <w:rPr>
          <w:sz w:val="22"/>
          <w:szCs w:val="22"/>
        </w:rPr>
        <w:t>One</w:t>
      </w:r>
      <w:r w:rsidRPr="00634A3F">
        <w:rPr>
          <w:sz w:val="22"/>
          <w:szCs w:val="22"/>
        </w:rPr>
        <w:t xml:space="preserve"> bed homes made up less than 10% of the total. </w:t>
      </w:r>
    </w:p>
    <w:p w14:paraId="54CDFE79" w14:textId="77777777" w:rsidR="00100884" w:rsidRPr="00280051" w:rsidRDefault="00100884" w:rsidP="00280051">
      <w:pPr>
        <w:pStyle w:val="NoSpacing"/>
      </w:pPr>
    </w:p>
    <w:p w14:paraId="4952EA35" w14:textId="60D342F9" w:rsidR="00FF2AA8" w:rsidRPr="00AC7BD8" w:rsidRDefault="00FF2AA8" w:rsidP="00AC7BD8">
      <w:pPr>
        <w:pStyle w:val="Caption"/>
        <w:keepNext/>
        <w:ind w:hanging="11"/>
        <w:rPr>
          <w:i w:val="0"/>
          <w:iCs w:val="0"/>
          <w:color w:val="auto"/>
          <w:sz w:val="22"/>
          <w:szCs w:val="22"/>
        </w:rPr>
      </w:pPr>
      <w:r w:rsidRPr="00AC7BD8">
        <w:rPr>
          <w:i w:val="0"/>
          <w:iCs w:val="0"/>
          <w:color w:val="auto"/>
          <w:sz w:val="22"/>
          <w:szCs w:val="22"/>
        </w:rPr>
        <w:t xml:space="preserve">Figure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Figure \* ARABIC </w:instrText>
      </w:r>
      <w:r w:rsidR="00F61229" w:rsidRPr="00AC7BD8">
        <w:rPr>
          <w:i w:val="0"/>
          <w:iCs w:val="0"/>
          <w:color w:val="auto"/>
          <w:sz w:val="22"/>
          <w:szCs w:val="22"/>
        </w:rPr>
        <w:fldChar w:fldCharType="separate"/>
      </w:r>
      <w:r w:rsidR="000223A1" w:rsidRPr="00AC7BD8">
        <w:rPr>
          <w:i w:val="0"/>
          <w:iCs w:val="0"/>
          <w:noProof/>
          <w:color w:val="auto"/>
          <w:sz w:val="22"/>
          <w:szCs w:val="22"/>
        </w:rPr>
        <w:t>13</w:t>
      </w:r>
      <w:r w:rsidR="00F61229" w:rsidRPr="00AC7BD8">
        <w:rPr>
          <w:i w:val="0"/>
          <w:iCs w:val="0"/>
          <w:noProof/>
          <w:color w:val="auto"/>
          <w:sz w:val="22"/>
          <w:szCs w:val="22"/>
        </w:rPr>
        <w:fldChar w:fldCharType="end"/>
      </w:r>
    </w:p>
    <w:p w14:paraId="2F8D4B1E" w14:textId="37ECA0E6" w:rsidR="00B76EF0" w:rsidRPr="00B76EF0" w:rsidRDefault="00B76EF0" w:rsidP="00E51A45">
      <w:pPr>
        <w:jc w:val="center"/>
      </w:pPr>
      <w:r>
        <w:rPr>
          <w:noProof/>
        </w:rPr>
        <w:drawing>
          <wp:inline distT="0" distB="0" distL="0" distR="0" wp14:anchorId="0BE5724C" wp14:editId="6694DE8C">
            <wp:extent cx="5991225" cy="3152775"/>
            <wp:effectExtent l="0" t="0" r="9525" b="9525"/>
            <wp:docPr id="36" name="Chart 36">
              <a:extLst xmlns:a="http://schemas.openxmlformats.org/drawingml/2006/main">
                <a:ext uri="{FF2B5EF4-FFF2-40B4-BE49-F238E27FC236}">
                  <a16:creationId xmlns:a16="http://schemas.microsoft.com/office/drawing/2014/main" id="{00000000-0008-0000-06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0C5F160" w14:textId="08429066" w:rsidR="00B6121B" w:rsidRPr="00610EF3" w:rsidRDefault="00CF716D" w:rsidP="00610EF3">
      <w:pPr>
        <w:pStyle w:val="ListParagraph"/>
        <w:numPr>
          <w:ilvl w:val="0"/>
          <w:numId w:val="20"/>
        </w:numPr>
        <w:ind w:left="567" w:hanging="567"/>
        <w:contextualSpacing w:val="0"/>
        <w:jc w:val="left"/>
        <w:rPr>
          <w:sz w:val="22"/>
          <w:szCs w:val="22"/>
        </w:rPr>
      </w:pPr>
      <w:r w:rsidRPr="00622DAE">
        <w:rPr>
          <w:b/>
          <w:sz w:val="22"/>
          <w:szCs w:val="22"/>
        </w:rPr>
        <w:lastRenderedPageBreak/>
        <w:t xml:space="preserve">  </w:t>
      </w:r>
      <w:r w:rsidR="00655EF7" w:rsidRPr="00622DAE">
        <w:rPr>
          <w:b/>
          <w:sz w:val="22"/>
          <w:szCs w:val="22"/>
        </w:rPr>
        <w:t xml:space="preserve">Crime </w:t>
      </w:r>
    </w:p>
    <w:p w14:paraId="3805146D" w14:textId="60554C8A" w:rsidR="00655EF7" w:rsidRPr="00E55171" w:rsidRDefault="00B6121B" w:rsidP="00610EF3">
      <w:pPr>
        <w:pStyle w:val="ListParagraph"/>
        <w:numPr>
          <w:ilvl w:val="1"/>
          <w:numId w:val="20"/>
        </w:numPr>
        <w:contextualSpacing w:val="0"/>
        <w:jc w:val="left"/>
        <w:rPr>
          <w:b/>
          <w:i/>
          <w:iCs/>
          <w:sz w:val="22"/>
          <w:szCs w:val="22"/>
        </w:rPr>
      </w:pPr>
      <w:r w:rsidRPr="00E55171">
        <w:rPr>
          <w:b/>
          <w:i/>
          <w:iCs/>
          <w:sz w:val="22"/>
          <w:szCs w:val="22"/>
        </w:rPr>
        <w:t>Crime Rates</w:t>
      </w:r>
    </w:p>
    <w:p w14:paraId="3A6E04F9" w14:textId="7DC75D31" w:rsidR="000223A1" w:rsidRPr="00610EF3" w:rsidRDefault="00CA2A0E" w:rsidP="00610EF3">
      <w:pPr>
        <w:pStyle w:val="ListParagraph"/>
        <w:numPr>
          <w:ilvl w:val="3"/>
          <w:numId w:val="20"/>
        </w:numPr>
        <w:ind w:left="709" w:right="421" w:hanging="709"/>
        <w:contextualSpacing w:val="0"/>
        <w:jc w:val="left"/>
        <w:rPr>
          <w:sz w:val="22"/>
          <w:szCs w:val="22"/>
        </w:rPr>
      </w:pPr>
      <w:r w:rsidRPr="00622DAE">
        <w:rPr>
          <w:sz w:val="22"/>
          <w:szCs w:val="22"/>
        </w:rPr>
        <w:t>The total number of recorded crimes in</w:t>
      </w:r>
      <w:r w:rsidR="00040843" w:rsidRPr="00622DAE">
        <w:rPr>
          <w:sz w:val="22"/>
          <w:szCs w:val="22"/>
        </w:rPr>
        <w:t xml:space="preserve"> the year to Ju</w:t>
      </w:r>
      <w:r w:rsidR="00CC7DB2" w:rsidRPr="00622DAE">
        <w:rPr>
          <w:sz w:val="22"/>
          <w:szCs w:val="22"/>
        </w:rPr>
        <w:t>ne</w:t>
      </w:r>
      <w:r w:rsidR="00040843" w:rsidRPr="00622DAE">
        <w:rPr>
          <w:sz w:val="22"/>
          <w:szCs w:val="22"/>
        </w:rPr>
        <w:t xml:space="preserve"> 202</w:t>
      </w:r>
      <w:r w:rsidR="00CC7DB2" w:rsidRPr="00622DAE">
        <w:rPr>
          <w:sz w:val="22"/>
          <w:szCs w:val="22"/>
        </w:rPr>
        <w:t>2</w:t>
      </w:r>
      <w:r w:rsidR="00040843" w:rsidRPr="00622DAE">
        <w:rPr>
          <w:sz w:val="22"/>
          <w:szCs w:val="22"/>
        </w:rPr>
        <w:t xml:space="preserve"> was </w:t>
      </w:r>
      <w:r w:rsidR="00CC7DB2" w:rsidRPr="00622DAE">
        <w:rPr>
          <w:sz w:val="22"/>
          <w:szCs w:val="22"/>
        </w:rPr>
        <w:t>7,343</w:t>
      </w:r>
      <w:r w:rsidRPr="00622DAE">
        <w:rPr>
          <w:rStyle w:val="EndnoteReference"/>
          <w:sz w:val="22"/>
          <w:szCs w:val="22"/>
        </w:rPr>
        <w:endnoteReference w:id="21"/>
      </w:r>
      <w:r w:rsidR="00CF716D" w:rsidRPr="00622DAE">
        <w:rPr>
          <w:sz w:val="22"/>
          <w:szCs w:val="22"/>
        </w:rPr>
        <w:t xml:space="preserve"> for Stratford </w:t>
      </w:r>
      <w:r w:rsidR="001D61F1" w:rsidRPr="00622DAE">
        <w:rPr>
          <w:sz w:val="22"/>
          <w:szCs w:val="22"/>
        </w:rPr>
        <w:t>District</w:t>
      </w:r>
      <w:r w:rsidR="00CF716D" w:rsidRPr="00622DAE">
        <w:rPr>
          <w:sz w:val="22"/>
          <w:szCs w:val="22"/>
        </w:rPr>
        <w:t>.</w:t>
      </w:r>
      <w:r w:rsidR="00040843" w:rsidRPr="00622DAE">
        <w:rPr>
          <w:sz w:val="22"/>
          <w:szCs w:val="22"/>
        </w:rPr>
        <w:t xml:space="preserve"> This is a rate of 5</w:t>
      </w:r>
      <w:r w:rsidR="00096DB1" w:rsidRPr="00622DAE">
        <w:rPr>
          <w:sz w:val="22"/>
          <w:szCs w:val="22"/>
        </w:rPr>
        <w:t>6</w:t>
      </w:r>
      <w:r w:rsidRPr="00622DAE">
        <w:rPr>
          <w:sz w:val="22"/>
          <w:szCs w:val="22"/>
        </w:rPr>
        <w:t xml:space="preserve"> crimes per 1,000 people, which is the lowest rate across Warwickshire. This refle</w:t>
      </w:r>
      <w:r w:rsidR="00040843" w:rsidRPr="00622DAE">
        <w:rPr>
          <w:sz w:val="22"/>
          <w:szCs w:val="22"/>
        </w:rPr>
        <w:t xml:space="preserve">cts a </w:t>
      </w:r>
      <w:r w:rsidR="00096DB1" w:rsidRPr="00622DAE">
        <w:rPr>
          <w:sz w:val="22"/>
          <w:szCs w:val="22"/>
        </w:rPr>
        <w:t>rise</w:t>
      </w:r>
      <w:r w:rsidR="00040843" w:rsidRPr="00622DAE">
        <w:rPr>
          <w:sz w:val="22"/>
          <w:szCs w:val="22"/>
        </w:rPr>
        <w:t xml:space="preserve"> on the </w:t>
      </w:r>
      <w:r w:rsidR="007952BD" w:rsidRPr="00622DAE">
        <w:rPr>
          <w:sz w:val="22"/>
          <w:szCs w:val="22"/>
        </w:rPr>
        <w:t>previous</w:t>
      </w:r>
      <w:r w:rsidR="00040843" w:rsidRPr="00622DAE">
        <w:rPr>
          <w:sz w:val="22"/>
          <w:szCs w:val="22"/>
        </w:rPr>
        <w:t xml:space="preserve"> year.</w:t>
      </w:r>
    </w:p>
    <w:p w14:paraId="35198651" w14:textId="1DCCBBF4" w:rsidR="000223A1" w:rsidRPr="00610EF3" w:rsidRDefault="00CA2A0E" w:rsidP="00610EF3">
      <w:pPr>
        <w:pStyle w:val="ListParagraph"/>
        <w:numPr>
          <w:ilvl w:val="3"/>
          <w:numId w:val="20"/>
        </w:numPr>
        <w:ind w:left="709" w:right="421" w:hanging="709"/>
        <w:contextualSpacing w:val="0"/>
        <w:jc w:val="left"/>
        <w:rPr>
          <w:sz w:val="22"/>
          <w:szCs w:val="22"/>
        </w:rPr>
      </w:pPr>
      <w:r w:rsidRPr="000223A1">
        <w:rPr>
          <w:sz w:val="22"/>
          <w:szCs w:val="22"/>
        </w:rPr>
        <w:t xml:space="preserve">The most prevalent crimes in the </w:t>
      </w:r>
      <w:r w:rsidR="001D61F1" w:rsidRPr="000223A1">
        <w:rPr>
          <w:sz w:val="22"/>
          <w:szCs w:val="22"/>
        </w:rPr>
        <w:t>District</w:t>
      </w:r>
      <w:r w:rsidRPr="000223A1">
        <w:rPr>
          <w:sz w:val="22"/>
          <w:szCs w:val="22"/>
        </w:rPr>
        <w:t xml:space="preserve"> we</w:t>
      </w:r>
      <w:r w:rsidR="006E3BD4" w:rsidRPr="000223A1">
        <w:rPr>
          <w:sz w:val="22"/>
          <w:szCs w:val="22"/>
        </w:rPr>
        <w:t>re violent and sexu</w:t>
      </w:r>
      <w:r w:rsidR="00040843" w:rsidRPr="000223A1">
        <w:rPr>
          <w:sz w:val="22"/>
          <w:szCs w:val="22"/>
        </w:rPr>
        <w:t>al offences, with a rate of 2</w:t>
      </w:r>
      <w:r w:rsidR="004A527D" w:rsidRPr="000223A1">
        <w:rPr>
          <w:sz w:val="22"/>
          <w:szCs w:val="22"/>
        </w:rPr>
        <w:t>2</w:t>
      </w:r>
      <w:r w:rsidR="006E3BD4" w:rsidRPr="000223A1">
        <w:rPr>
          <w:sz w:val="22"/>
          <w:szCs w:val="22"/>
        </w:rPr>
        <w:t xml:space="preserve"> per 1,000 people. This is lower than the same</w:t>
      </w:r>
      <w:r w:rsidR="00040843" w:rsidRPr="000223A1">
        <w:rPr>
          <w:sz w:val="22"/>
          <w:szCs w:val="22"/>
        </w:rPr>
        <w:t xml:space="preserve"> rate across Warwickshire (</w:t>
      </w:r>
      <w:r w:rsidR="00426D8F" w:rsidRPr="000223A1">
        <w:rPr>
          <w:sz w:val="22"/>
          <w:szCs w:val="22"/>
        </w:rPr>
        <w:t>30.2</w:t>
      </w:r>
      <w:r w:rsidR="00040843" w:rsidRPr="000223A1">
        <w:rPr>
          <w:sz w:val="22"/>
          <w:szCs w:val="22"/>
        </w:rPr>
        <w:t>) and England (3</w:t>
      </w:r>
      <w:r w:rsidR="00426D8F" w:rsidRPr="000223A1">
        <w:rPr>
          <w:sz w:val="22"/>
          <w:szCs w:val="22"/>
        </w:rPr>
        <w:t>4.9</w:t>
      </w:r>
      <w:r w:rsidR="006E3BD4" w:rsidRPr="000223A1">
        <w:rPr>
          <w:sz w:val="22"/>
          <w:szCs w:val="22"/>
        </w:rPr>
        <w:t xml:space="preserve">). </w:t>
      </w:r>
    </w:p>
    <w:p w14:paraId="37BF9C2A" w14:textId="7F91CDE5" w:rsidR="00EC558B" w:rsidRPr="000D6424" w:rsidRDefault="006E3BD4" w:rsidP="000D6424">
      <w:pPr>
        <w:pStyle w:val="ListParagraph"/>
        <w:numPr>
          <w:ilvl w:val="3"/>
          <w:numId w:val="20"/>
        </w:numPr>
        <w:ind w:left="709" w:right="421" w:hanging="709"/>
        <w:contextualSpacing w:val="0"/>
        <w:jc w:val="left"/>
        <w:rPr>
          <w:sz w:val="22"/>
          <w:szCs w:val="22"/>
        </w:rPr>
      </w:pPr>
      <w:r w:rsidRPr="000223A1">
        <w:rPr>
          <w:sz w:val="22"/>
          <w:szCs w:val="22"/>
        </w:rPr>
        <w:t xml:space="preserve">As </w:t>
      </w:r>
      <w:r w:rsidR="00CF716D" w:rsidRPr="000223A1">
        <w:rPr>
          <w:sz w:val="22"/>
          <w:szCs w:val="22"/>
        </w:rPr>
        <w:t>F</w:t>
      </w:r>
      <w:r w:rsidRPr="000223A1">
        <w:rPr>
          <w:sz w:val="22"/>
          <w:szCs w:val="22"/>
        </w:rPr>
        <w:t>igure 1</w:t>
      </w:r>
      <w:r w:rsidR="009378BD" w:rsidRPr="000223A1">
        <w:rPr>
          <w:sz w:val="22"/>
          <w:szCs w:val="22"/>
        </w:rPr>
        <w:t>4</w:t>
      </w:r>
      <w:r w:rsidRPr="000223A1">
        <w:rPr>
          <w:sz w:val="22"/>
          <w:szCs w:val="22"/>
        </w:rPr>
        <w:t xml:space="preserve"> shows, all other crimes were significantly lower in number</w:t>
      </w:r>
      <w:r w:rsidR="00040843" w:rsidRPr="000223A1">
        <w:rPr>
          <w:sz w:val="22"/>
          <w:szCs w:val="22"/>
        </w:rPr>
        <w:t>. T</w:t>
      </w:r>
      <w:r w:rsidRPr="000223A1">
        <w:rPr>
          <w:sz w:val="22"/>
          <w:szCs w:val="22"/>
        </w:rPr>
        <w:t xml:space="preserve">he second most prevalent </w:t>
      </w:r>
      <w:r w:rsidR="00040843" w:rsidRPr="000223A1">
        <w:rPr>
          <w:sz w:val="22"/>
          <w:szCs w:val="22"/>
        </w:rPr>
        <w:t>crime (apart from anti-social behaviour) was ‘other theft’ which had a higher rate of 6</w:t>
      </w:r>
      <w:r w:rsidR="00622DAE" w:rsidRPr="000223A1">
        <w:rPr>
          <w:sz w:val="22"/>
          <w:szCs w:val="22"/>
        </w:rPr>
        <w:t>.8</w:t>
      </w:r>
      <w:r w:rsidR="00040843" w:rsidRPr="000223A1">
        <w:rPr>
          <w:sz w:val="22"/>
          <w:szCs w:val="22"/>
        </w:rPr>
        <w:t xml:space="preserve"> per 1,000</w:t>
      </w:r>
      <w:r w:rsidRPr="000223A1">
        <w:rPr>
          <w:sz w:val="22"/>
          <w:szCs w:val="22"/>
        </w:rPr>
        <w:t xml:space="preserve"> </w:t>
      </w:r>
      <w:r w:rsidR="00040843" w:rsidRPr="000223A1">
        <w:rPr>
          <w:sz w:val="22"/>
          <w:szCs w:val="22"/>
        </w:rPr>
        <w:t>than</w:t>
      </w:r>
      <w:r w:rsidRPr="000223A1">
        <w:rPr>
          <w:sz w:val="22"/>
          <w:szCs w:val="22"/>
        </w:rPr>
        <w:t xml:space="preserve"> </w:t>
      </w:r>
      <w:r w:rsidR="00040843" w:rsidRPr="000223A1">
        <w:rPr>
          <w:sz w:val="22"/>
          <w:szCs w:val="22"/>
        </w:rPr>
        <w:t xml:space="preserve">the </w:t>
      </w:r>
      <w:r w:rsidRPr="000223A1">
        <w:rPr>
          <w:sz w:val="22"/>
          <w:szCs w:val="22"/>
        </w:rPr>
        <w:t>Warwickshire</w:t>
      </w:r>
      <w:r w:rsidR="00040843" w:rsidRPr="000223A1">
        <w:rPr>
          <w:sz w:val="22"/>
          <w:szCs w:val="22"/>
        </w:rPr>
        <w:t xml:space="preserve"> average of </w:t>
      </w:r>
      <w:r w:rsidR="00622DAE" w:rsidRPr="000223A1">
        <w:rPr>
          <w:sz w:val="22"/>
          <w:szCs w:val="22"/>
        </w:rPr>
        <w:t>6.2</w:t>
      </w:r>
      <w:r w:rsidR="00040843" w:rsidRPr="000223A1">
        <w:rPr>
          <w:sz w:val="22"/>
          <w:szCs w:val="22"/>
        </w:rPr>
        <w:t xml:space="preserve"> per 1,000 people</w:t>
      </w:r>
      <w:r w:rsidR="00622DAE" w:rsidRPr="000223A1">
        <w:rPr>
          <w:sz w:val="22"/>
          <w:szCs w:val="22"/>
        </w:rPr>
        <w:t xml:space="preserve">, while </w:t>
      </w:r>
      <w:r w:rsidR="00040843" w:rsidRPr="000223A1">
        <w:rPr>
          <w:sz w:val="22"/>
          <w:szCs w:val="22"/>
        </w:rPr>
        <w:t xml:space="preserve">the English average </w:t>
      </w:r>
      <w:r w:rsidR="00622DAE" w:rsidRPr="000223A1">
        <w:rPr>
          <w:sz w:val="22"/>
          <w:szCs w:val="22"/>
        </w:rPr>
        <w:t>was</w:t>
      </w:r>
      <w:r w:rsidR="00040843" w:rsidRPr="000223A1">
        <w:rPr>
          <w:sz w:val="22"/>
          <w:szCs w:val="22"/>
        </w:rPr>
        <w:t xml:space="preserve"> </w:t>
      </w:r>
      <w:r w:rsidR="00622DAE" w:rsidRPr="000223A1">
        <w:rPr>
          <w:sz w:val="22"/>
          <w:szCs w:val="22"/>
        </w:rPr>
        <w:t>7.2</w:t>
      </w:r>
      <w:r w:rsidR="00040843" w:rsidRPr="000223A1">
        <w:rPr>
          <w:sz w:val="22"/>
          <w:szCs w:val="22"/>
        </w:rPr>
        <w:t>.</w:t>
      </w:r>
    </w:p>
    <w:p w14:paraId="57F12F80" w14:textId="67E66E0D" w:rsidR="00AC7BD8" w:rsidRPr="00AC7BD8" w:rsidRDefault="0069210F" w:rsidP="0069210F">
      <w:pPr>
        <w:pStyle w:val="ListParagraph"/>
        <w:ind w:hanging="11"/>
        <w:rPr>
          <w:sz w:val="22"/>
          <w:szCs w:val="22"/>
        </w:rPr>
      </w:pPr>
      <w:r w:rsidRPr="009378BD">
        <w:rPr>
          <w:iCs/>
          <w:noProof/>
        </w:rPr>
        <w:drawing>
          <wp:anchor distT="0" distB="0" distL="114300" distR="114300" simplePos="0" relativeHeight="251658240" behindDoc="0" locked="0" layoutInCell="1" allowOverlap="1" wp14:anchorId="7F56CE14" wp14:editId="51502CB6">
            <wp:simplePos x="0" y="0"/>
            <wp:positionH relativeFrom="column">
              <wp:posOffset>-525780</wp:posOffset>
            </wp:positionH>
            <wp:positionV relativeFrom="paragraph">
              <wp:posOffset>288925</wp:posOffset>
            </wp:positionV>
            <wp:extent cx="6891020" cy="3048000"/>
            <wp:effectExtent l="0" t="0" r="508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891020" cy="3048000"/>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Figure 14</w:t>
      </w:r>
    </w:p>
    <w:p w14:paraId="57FC45FA" w14:textId="77777777" w:rsidR="00CB645C" w:rsidRPr="000223A1" w:rsidRDefault="00CB645C" w:rsidP="00AC7BD8">
      <w:pPr>
        <w:pStyle w:val="ListParagraph"/>
        <w:ind w:left="709" w:firstLine="0"/>
        <w:jc w:val="left"/>
        <w:rPr>
          <w:sz w:val="22"/>
          <w:szCs w:val="22"/>
        </w:rPr>
      </w:pPr>
    </w:p>
    <w:p w14:paraId="11D585B2" w14:textId="5BCCE376" w:rsidR="00655EF7" w:rsidRPr="00E55171" w:rsidRDefault="001D61F1" w:rsidP="00610EF3">
      <w:pPr>
        <w:pStyle w:val="ListParagraph"/>
        <w:numPr>
          <w:ilvl w:val="1"/>
          <w:numId w:val="20"/>
        </w:numPr>
        <w:contextualSpacing w:val="0"/>
        <w:jc w:val="left"/>
        <w:rPr>
          <w:b/>
          <w:i/>
          <w:iCs/>
          <w:sz w:val="22"/>
          <w:szCs w:val="22"/>
        </w:rPr>
      </w:pPr>
      <w:r w:rsidRPr="00E55171">
        <w:rPr>
          <w:b/>
          <w:i/>
          <w:iCs/>
          <w:sz w:val="22"/>
          <w:szCs w:val="22"/>
        </w:rPr>
        <w:t>C</w:t>
      </w:r>
      <w:r w:rsidR="00655EF7" w:rsidRPr="00E55171">
        <w:rPr>
          <w:b/>
          <w:i/>
          <w:iCs/>
          <w:sz w:val="22"/>
          <w:szCs w:val="22"/>
        </w:rPr>
        <w:t>rime</w:t>
      </w:r>
      <w:r w:rsidR="00F11F80" w:rsidRPr="00E55171">
        <w:rPr>
          <w:b/>
          <w:i/>
          <w:iCs/>
          <w:sz w:val="22"/>
          <w:szCs w:val="22"/>
        </w:rPr>
        <w:t xml:space="preserve"> at Ward level</w:t>
      </w:r>
    </w:p>
    <w:p w14:paraId="44CC2BE1" w14:textId="2DCD3450" w:rsidR="005D113A" w:rsidRDefault="00FF2AA8" w:rsidP="00610EF3">
      <w:pPr>
        <w:pStyle w:val="ListParagraph"/>
        <w:numPr>
          <w:ilvl w:val="3"/>
          <w:numId w:val="20"/>
        </w:numPr>
        <w:ind w:left="709" w:right="421" w:hanging="709"/>
        <w:contextualSpacing w:val="0"/>
        <w:jc w:val="left"/>
        <w:rPr>
          <w:sz w:val="22"/>
          <w:szCs w:val="22"/>
        </w:rPr>
      </w:pPr>
      <w:r w:rsidRPr="00264D4E">
        <w:rPr>
          <w:sz w:val="22"/>
          <w:szCs w:val="22"/>
        </w:rPr>
        <w:t>Figure 15 shows the total crime count for each ward</w:t>
      </w:r>
      <w:r w:rsidR="007C1D4F" w:rsidRPr="00264D4E">
        <w:rPr>
          <w:sz w:val="22"/>
          <w:szCs w:val="22"/>
        </w:rPr>
        <w:t xml:space="preserve"> in the year ending June 2022</w:t>
      </w:r>
      <w:r w:rsidRPr="00264D4E">
        <w:rPr>
          <w:sz w:val="22"/>
          <w:szCs w:val="22"/>
        </w:rPr>
        <w:t xml:space="preserve"> </w:t>
      </w:r>
      <w:r w:rsidR="007C1D4F" w:rsidRPr="00264D4E">
        <w:rPr>
          <w:sz w:val="22"/>
          <w:szCs w:val="22"/>
        </w:rPr>
        <w:t>(</w:t>
      </w:r>
      <w:r w:rsidR="000D6424">
        <w:rPr>
          <w:sz w:val="22"/>
          <w:szCs w:val="22"/>
        </w:rPr>
        <w:t>p</w:t>
      </w:r>
      <w:r w:rsidR="007C1D4F" w:rsidRPr="00264D4E">
        <w:rPr>
          <w:sz w:val="22"/>
          <w:szCs w:val="22"/>
        </w:rPr>
        <w:t xml:space="preserve">lease note, there is no data recorded for Clopton ward). </w:t>
      </w:r>
      <w:r w:rsidR="004E7109" w:rsidRPr="00264D4E">
        <w:rPr>
          <w:sz w:val="22"/>
          <w:szCs w:val="22"/>
        </w:rPr>
        <w:t xml:space="preserve">Avenue ward saw the highest overall number of crimes </w:t>
      </w:r>
      <w:r w:rsidR="007C206F" w:rsidRPr="00264D4E">
        <w:rPr>
          <w:sz w:val="22"/>
          <w:szCs w:val="22"/>
        </w:rPr>
        <w:t>recorded in the year to June 2022, at 680</w:t>
      </w:r>
      <w:r w:rsidR="00D6372B" w:rsidRPr="00264D4E">
        <w:rPr>
          <w:rStyle w:val="EndnoteReference"/>
          <w:sz w:val="22"/>
          <w:szCs w:val="22"/>
        </w:rPr>
        <w:endnoteReference w:id="22"/>
      </w:r>
      <w:r w:rsidR="007C206F" w:rsidRPr="00264D4E">
        <w:rPr>
          <w:sz w:val="22"/>
          <w:szCs w:val="22"/>
        </w:rPr>
        <w:t>. Welcombe was second with 535.</w:t>
      </w:r>
      <w:r w:rsidR="009A0BB3" w:rsidRPr="00264D4E">
        <w:rPr>
          <w:sz w:val="22"/>
          <w:szCs w:val="22"/>
        </w:rPr>
        <w:t xml:space="preserve"> </w:t>
      </w:r>
    </w:p>
    <w:p w14:paraId="188D7FC0" w14:textId="77777777" w:rsidR="00BC03A4" w:rsidRPr="00264D4E" w:rsidRDefault="00BC03A4" w:rsidP="00BC03A4">
      <w:pPr>
        <w:pStyle w:val="ListParagraph"/>
        <w:ind w:firstLine="0"/>
        <w:jc w:val="left"/>
        <w:rPr>
          <w:sz w:val="22"/>
          <w:szCs w:val="22"/>
        </w:rPr>
      </w:pPr>
    </w:p>
    <w:p w14:paraId="5C5CDEF8" w14:textId="15C2426B" w:rsidR="007079B7" w:rsidRPr="00AC7BD8" w:rsidRDefault="00BC03A4" w:rsidP="00AC7BD8">
      <w:pPr>
        <w:pStyle w:val="Caption"/>
        <w:keepNext/>
        <w:ind w:left="360" w:firstLine="349"/>
        <w:jc w:val="left"/>
        <w:rPr>
          <w:i w:val="0"/>
          <w:iCs w:val="0"/>
          <w:color w:val="auto"/>
          <w:sz w:val="22"/>
          <w:szCs w:val="22"/>
        </w:rPr>
      </w:pPr>
      <w:r w:rsidRPr="00AC7BD8">
        <w:rPr>
          <w:i w:val="0"/>
          <w:iCs w:val="0"/>
          <w:color w:val="auto"/>
          <w:sz w:val="22"/>
          <w:szCs w:val="22"/>
        </w:rPr>
        <w:lastRenderedPageBreak/>
        <w:t xml:space="preserve">Figure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Figure \* ARABIC </w:instrText>
      </w:r>
      <w:r w:rsidR="00F61229" w:rsidRPr="00AC7BD8">
        <w:rPr>
          <w:i w:val="0"/>
          <w:iCs w:val="0"/>
          <w:color w:val="auto"/>
          <w:sz w:val="22"/>
          <w:szCs w:val="22"/>
        </w:rPr>
        <w:fldChar w:fldCharType="separate"/>
      </w:r>
      <w:r w:rsidR="000223A1" w:rsidRPr="00AC7BD8">
        <w:rPr>
          <w:i w:val="0"/>
          <w:iCs w:val="0"/>
          <w:noProof/>
          <w:color w:val="auto"/>
          <w:sz w:val="22"/>
          <w:szCs w:val="22"/>
        </w:rPr>
        <w:t>15</w:t>
      </w:r>
      <w:r w:rsidR="00F61229" w:rsidRPr="00AC7BD8">
        <w:rPr>
          <w:i w:val="0"/>
          <w:iCs w:val="0"/>
          <w:noProof/>
          <w:color w:val="auto"/>
          <w:sz w:val="22"/>
          <w:szCs w:val="22"/>
        </w:rPr>
        <w:fldChar w:fldCharType="end"/>
      </w:r>
    </w:p>
    <w:p w14:paraId="7F1FEE70" w14:textId="50359622" w:rsidR="00BC03A4" w:rsidRDefault="00BC03A4" w:rsidP="00E51A45">
      <w:pPr>
        <w:pStyle w:val="ListParagraph"/>
        <w:ind w:firstLine="0"/>
        <w:jc w:val="center"/>
        <w:rPr>
          <w:sz w:val="22"/>
          <w:szCs w:val="22"/>
        </w:rPr>
      </w:pPr>
      <w:r>
        <w:rPr>
          <w:noProof/>
          <w:color w:val="FF0000"/>
          <w:sz w:val="22"/>
          <w:szCs w:val="22"/>
        </w:rPr>
        <w:drawing>
          <wp:inline distT="0" distB="0" distL="0" distR="0" wp14:anchorId="32CD77D6" wp14:editId="0F7B0C49">
            <wp:extent cx="4864735" cy="597471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64735" cy="5974715"/>
                    </a:xfrm>
                    <a:prstGeom prst="rect">
                      <a:avLst/>
                    </a:prstGeom>
                    <a:noFill/>
                  </pic:spPr>
                </pic:pic>
              </a:graphicData>
            </a:graphic>
          </wp:inline>
        </w:drawing>
      </w:r>
    </w:p>
    <w:p w14:paraId="1431E4EF" w14:textId="77777777" w:rsidR="00BC03A4" w:rsidRPr="000223A1" w:rsidRDefault="00BC03A4" w:rsidP="004C29B8">
      <w:pPr>
        <w:pStyle w:val="NoSpacing"/>
      </w:pPr>
    </w:p>
    <w:p w14:paraId="68E4ED59" w14:textId="41909672" w:rsidR="004059F5" w:rsidRPr="00190559" w:rsidRDefault="00655EF7" w:rsidP="00034A2D">
      <w:pPr>
        <w:pStyle w:val="ListParagraph"/>
        <w:numPr>
          <w:ilvl w:val="3"/>
          <w:numId w:val="20"/>
        </w:numPr>
        <w:ind w:left="709" w:right="421" w:hanging="709"/>
        <w:jc w:val="left"/>
        <w:rPr>
          <w:sz w:val="22"/>
          <w:szCs w:val="22"/>
        </w:rPr>
      </w:pPr>
      <w:r w:rsidRPr="00190559">
        <w:rPr>
          <w:sz w:val="22"/>
          <w:szCs w:val="22"/>
        </w:rPr>
        <w:t xml:space="preserve">The wards towards the centre of Stratford-upon-Avon town saw the highest levels of </w:t>
      </w:r>
      <w:r w:rsidRPr="00190559">
        <w:rPr>
          <w:bCs/>
          <w:sz w:val="22"/>
          <w:szCs w:val="22"/>
        </w:rPr>
        <w:t>violent and sexual crime.</w:t>
      </w:r>
      <w:r w:rsidR="005445F6" w:rsidRPr="00190559">
        <w:rPr>
          <w:b/>
          <w:sz w:val="22"/>
          <w:szCs w:val="22"/>
        </w:rPr>
        <w:t xml:space="preserve"> </w:t>
      </w:r>
      <w:r w:rsidR="00CF2C34" w:rsidRPr="00190559">
        <w:rPr>
          <w:bCs/>
          <w:sz w:val="22"/>
          <w:szCs w:val="22"/>
        </w:rPr>
        <w:t>This category include</w:t>
      </w:r>
      <w:r w:rsidR="004931CF" w:rsidRPr="00190559">
        <w:rPr>
          <w:bCs/>
          <w:sz w:val="22"/>
          <w:szCs w:val="22"/>
        </w:rPr>
        <w:t xml:space="preserve">s </w:t>
      </w:r>
      <w:r w:rsidR="004931CF" w:rsidRPr="00190559">
        <w:rPr>
          <w:rFonts w:cs="Open Sans"/>
          <w:bCs/>
          <w:sz w:val="22"/>
          <w:szCs w:val="22"/>
          <w:shd w:val="clear" w:color="auto" w:fill="FFFFFF"/>
        </w:rPr>
        <w:t>a wide range of offences including minor assaults (such as pushing and shoving), harassment and abuse (that result in no physical harm) through to wounding and homicide. Sexual offences include rape, sexual assault and unlawful sexual activity against adults and children, sexual grooming and indecent exposure</w:t>
      </w:r>
      <w:r w:rsidR="004931CF" w:rsidRPr="00190559">
        <w:rPr>
          <w:rFonts w:cs="Open Sans"/>
          <w:sz w:val="22"/>
          <w:szCs w:val="22"/>
          <w:shd w:val="clear" w:color="auto" w:fill="FFFFFF"/>
        </w:rPr>
        <w:t xml:space="preserve">. </w:t>
      </w:r>
      <w:r w:rsidR="00D84F9F" w:rsidRPr="00190559">
        <w:rPr>
          <w:bCs/>
          <w:sz w:val="22"/>
          <w:szCs w:val="22"/>
        </w:rPr>
        <w:t>Table 3 shows the top</w:t>
      </w:r>
      <w:r w:rsidR="00264D4E" w:rsidRPr="00190559">
        <w:rPr>
          <w:bCs/>
          <w:sz w:val="22"/>
          <w:szCs w:val="22"/>
        </w:rPr>
        <w:t xml:space="preserve"> 5 wards with the highest </w:t>
      </w:r>
      <w:r w:rsidR="00676E59" w:rsidRPr="00190559">
        <w:rPr>
          <w:bCs/>
          <w:sz w:val="22"/>
          <w:szCs w:val="22"/>
        </w:rPr>
        <w:t>counts</w:t>
      </w:r>
      <w:r w:rsidR="00264D4E" w:rsidRPr="00190559">
        <w:rPr>
          <w:bCs/>
          <w:sz w:val="22"/>
          <w:szCs w:val="22"/>
        </w:rPr>
        <w:t xml:space="preserve"> of </w:t>
      </w:r>
      <w:r w:rsidR="00676E59" w:rsidRPr="00190559">
        <w:rPr>
          <w:bCs/>
          <w:sz w:val="22"/>
          <w:szCs w:val="22"/>
        </w:rPr>
        <w:t xml:space="preserve">recorded </w:t>
      </w:r>
      <w:r w:rsidR="00264D4E" w:rsidRPr="00190559">
        <w:rPr>
          <w:bCs/>
          <w:sz w:val="22"/>
          <w:szCs w:val="22"/>
        </w:rPr>
        <w:t>violent and sexual crime</w:t>
      </w:r>
      <w:r w:rsidR="00676E59" w:rsidRPr="00190559">
        <w:rPr>
          <w:bCs/>
          <w:sz w:val="22"/>
          <w:szCs w:val="22"/>
        </w:rPr>
        <w:t>s</w:t>
      </w:r>
      <w:r w:rsidR="00264D4E" w:rsidRPr="00190559">
        <w:rPr>
          <w:bCs/>
          <w:sz w:val="22"/>
          <w:szCs w:val="22"/>
        </w:rPr>
        <w:t xml:space="preserve"> in the year to June 2022.</w:t>
      </w:r>
      <w:r w:rsidR="00676E59" w:rsidRPr="00190559">
        <w:rPr>
          <w:bCs/>
          <w:sz w:val="22"/>
          <w:szCs w:val="22"/>
        </w:rPr>
        <w:t xml:space="preserve"> </w:t>
      </w:r>
    </w:p>
    <w:p w14:paraId="38788218" w14:textId="77777777" w:rsidR="009A6784" w:rsidRDefault="009A6784" w:rsidP="009A6784">
      <w:pPr>
        <w:jc w:val="left"/>
        <w:rPr>
          <w:sz w:val="22"/>
          <w:szCs w:val="22"/>
        </w:rPr>
      </w:pPr>
    </w:p>
    <w:p w14:paraId="3B3D4618" w14:textId="77777777" w:rsidR="009A6784" w:rsidRDefault="009A6784" w:rsidP="009A6784">
      <w:pPr>
        <w:jc w:val="left"/>
        <w:rPr>
          <w:sz w:val="22"/>
          <w:szCs w:val="22"/>
        </w:rPr>
      </w:pPr>
    </w:p>
    <w:p w14:paraId="35B428E8" w14:textId="77777777" w:rsidR="009A6784" w:rsidRPr="009A6784" w:rsidRDefault="009A6784" w:rsidP="009A6784">
      <w:pPr>
        <w:jc w:val="left"/>
        <w:rPr>
          <w:sz w:val="22"/>
          <w:szCs w:val="22"/>
        </w:rPr>
      </w:pPr>
    </w:p>
    <w:p w14:paraId="0CE42C40" w14:textId="6B9F092C" w:rsidR="00D84F9F" w:rsidRPr="00AC7BD8" w:rsidRDefault="00D84F9F" w:rsidP="00AC7BD8">
      <w:pPr>
        <w:pStyle w:val="Caption"/>
        <w:keepNext/>
        <w:ind w:hanging="11"/>
        <w:rPr>
          <w:i w:val="0"/>
          <w:iCs w:val="0"/>
          <w:color w:val="auto"/>
          <w:sz w:val="22"/>
          <w:szCs w:val="22"/>
        </w:rPr>
      </w:pPr>
      <w:r w:rsidRPr="00AC7BD8">
        <w:rPr>
          <w:i w:val="0"/>
          <w:iCs w:val="0"/>
          <w:color w:val="auto"/>
          <w:sz w:val="22"/>
          <w:szCs w:val="22"/>
        </w:rPr>
        <w:lastRenderedPageBreak/>
        <w:t xml:space="preserve">Table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Table \* ARABIC </w:instrText>
      </w:r>
      <w:r w:rsidR="00F61229" w:rsidRPr="00AC7BD8">
        <w:rPr>
          <w:i w:val="0"/>
          <w:iCs w:val="0"/>
          <w:color w:val="auto"/>
          <w:sz w:val="22"/>
          <w:szCs w:val="22"/>
        </w:rPr>
        <w:fldChar w:fldCharType="separate"/>
      </w:r>
      <w:r w:rsidR="00E94700" w:rsidRPr="00AC7BD8">
        <w:rPr>
          <w:i w:val="0"/>
          <w:iCs w:val="0"/>
          <w:noProof/>
          <w:color w:val="auto"/>
          <w:sz w:val="22"/>
          <w:szCs w:val="22"/>
        </w:rPr>
        <w:t>3</w:t>
      </w:r>
      <w:r w:rsidR="00F61229" w:rsidRPr="00AC7BD8">
        <w:rPr>
          <w:i w:val="0"/>
          <w:iCs w:val="0"/>
          <w:noProof/>
          <w:color w:val="auto"/>
          <w:sz w:val="22"/>
          <w:szCs w:val="22"/>
        </w:rPr>
        <w:fldChar w:fldCharType="end"/>
      </w:r>
    </w:p>
    <w:tbl>
      <w:tblPr>
        <w:tblStyle w:val="TableGrid"/>
        <w:tblW w:w="708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3"/>
        <w:gridCol w:w="4820"/>
      </w:tblGrid>
      <w:tr w:rsidR="004059F5" w:rsidRPr="008112A9" w14:paraId="5172B7A4" w14:textId="77777777" w:rsidTr="003672A6">
        <w:trPr>
          <w:trHeight w:hRule="exact" w:val="284"/>
          <w:jc w:val="center"/>
        </w:trPr>
        <w:tc>
          <w:tcPr>
            <w:tcW w:w="2263" w:type="dxa"/>
          </w:tcPr>
          <w:p w14:paraId="31724C05" w14:textId="77777777" w:rsidR="004059F5" w:rsidRPr="008112A9" w:rsidRDefault="004059F5" w:rsidP="00D13C50">
            <w:pPr>
              <w:ind w:left="0" w:firstLine="0"/>
              <w:rPr>
                <w:sz w:val="22"/>
                <w:szCs w:val="22"/>
              </w:rPr>
            </w:pPr>
          </w:p>
        </w:tc>
        <w:tc>
          <w:tcPr>
            <w:tcW w:w="4820" w:type="dxa"/>
          </w:tcPr>
          <w:p w14:paraId="08DB29BF" w14:textId="0CA248FD" w:rsidR="004059F5" w:rsidRPr="008112A9" w:rsidRDefault="004059F5" w:rsidP="004059F5">
            <w:pPr>
              <w:ind w:left="-10" w:firstLine="10"/>
              <w:jc w:val="center"/>
              <w:rPr>
                <w:b/>
                <w:sz w:val="22"/>
                <w:szCs w:val="22"/>
              </w:rPr>
            </w:pPr>
            <w:r>
              <w:rPr>
                <w:b/>
                <w:sz w:val="22"/>
                <w:szCs w:val="22"/>
              </w:rPr>
              <w:t>Count</w:t>
            </w:r>
            <w:r w:rsidR="00DD4CDF">
              <w:rPr>
                <w:b/>
                <w:sz w:val="22"/>
                <w:szCs w:val="22"/>
              </w:rPr>
              <w:t>: Violent and sexual crimes</w:t>
            </w:r>
          </w:p>
        </w:tc>
      </w:tr>
      <w:tr w:rsidR="00D84F9F" w:rsidRPr="008112A9" w14:paraId="59836098" w14:textId="77777777" w:rsidTr="003672A6">
        <w:trPr>
          <w:trHeight w:hRule="exact" w:val="284"/>
          <w:jc w:val="center"/>
        </w:trPr>
        <w:tc>
          <w:tcPr>
            <w:tcW w:w="2263" w:type="dxa"/>
            <w:vAlign w:val="center"/>
          </w:tcPr>
          <w:p w14:paraId="38FBF142" w14:textId="14D74896" w:rsidR="00D84F9F" w:rsidRPr="008112A9" w:rsidRDefault="00D84F9F" w:rsidP="00D84F9F">
            <w:pPr>
              <w:ind w:left="0" w:firstLine="0"/>
              <w:jc w:val="left"/>
              <w:rPr>
                <w:b/>
                <w:sz w:val="22"/>
                <w:szCs w:val="22"/>
              </w:rPr>
            </w:pPr>
            <w:r>
              <w:rPr>
                <w:b/>
                <w:sz w:val="22"/>
                <w:szCs w:val="22"/>
              </w:rPr>
              <w:t>Avenue</w:t>
            </w:r>
          </w:p>
        </w:tc>
        <w:tc>
          <w:tcPr>
            <w:tcW w:w="4820" w:type="dxa"/>
            <w:vAlign w:val="center"/>
          </w:tcPr>
          <w:p w14:paraId="34635349" w14:textId="2E42D3C0" w:rsidR="00D84F9F" w:rsidRPr="00D84F9F" w:rsidRDefault="00D84F9F" w:rsidP="00D84F9F">
            <w:pPr>
              <w:spacing w:after="0"/>
              <w:ind w:left="0" w:firstLine="0"/>
              <w:jc w:val="center"/>
              <w:rPr>
                <w:rFonts w:cs="Calibri"/>
                <w:sz w:val="22"/>
                <w:szCs w:val="22"/>
                <w:lang w:eastAsia="en-GB"/>
              </w:rPr>
            </w:pPr>
            <w:r w:rsidRPr="00D84F9F">
              <w:rPr>
                <w:rFonts w:cs="Calibri"/>
                <w:color w:val="000000"/>
                <w:sz w:val="22"/>
                <w:szCs w:val="22"/>
              </w:rPr>
              <w:t>228</w:t>
            </w:r>
          </w:p>
        </w:tc>
      </w:tr>
      <w:tr w:rsidR="00D84F9F" w:rsidRPr="008112A9" w14:paraId="3A479905" w14:textId="77777777" w:rsidTr="003672A6">
        <w:trPr>
          <w:trHeight w:hRule="exact" w:val="284"/>
          <w:jc w:val="center"/>
        </w:trPr>
        <w:tc>
          <w:tcPr>
            <w:tcW w:w="2263" w:type="dxa"/>
            <w:vAlign w:val="center"/>
          </w:tcPr>
          <w:p w14:paraId="201D8B07" w14:textId="23FFA812" w:rsidR="00D84F9F" w:rsidRPr="008112A9" w:rsidRDefault="00D84F9F" w:rsidP="00D84F9F">
            <w:pPr>
              <w:tabs>
                <w:tab w:val="center" w:pos="1948"/>
              </w:tabs>
              <w:ind w:left="0" w:firstLine="0"/>
              <w:jc w:val="left"/>
              <w:rPr>
                <w:b/>
                <w:sz w:val="22"/>
                <w:szCs w:val="22"/>
              </w:rPr>
            </w:pPr>
            <w:r>
              <w:rPr>
                <w:b/>
                <w:sz w:val="22"/>
                <w:szCs w:val="22"/>
              </w:rPr>
              <w:t>Welcombe</w:t>
            </w:r>
          </w:p>
        </w:tc>
        <w:tc>
          <w:tcPr>
            <w:tcW w:w="4820" w:type="dxa"/>
            <w:vAlign w:val="center"/>
          </w:tcPr>
          <w:p w14:paraId="286B3CEC" w14:textId="3CAAB111" w:rsidR="00D84F9F" w:rsidRPr="00D84F9F" w:rsidRDefault="00D84F9F" w:rsidP="00D84F9F">
            <w:pPr>
              <w:spacing w:after="0"/>
              <w:ind w:left="0" w:firstLine="0"/>
              <w:jc w:val="center"/>
              <w:rPr>
                <w:rFonts w:cs="Calibri"/>
                <w:sz w:val="22"/>
                <w:szCs w:val="22"/>
                <w:lang w:eastAsia="en-GB"/>
              </w:rPr>
            </w:pPr>
            <w:r w:rsidRPr="00D84F9F">
              <w:rPr>
                <w:rFonts w:cs="Calibri"/>
                <w:color w:val="000000"/>
                <w:sz w:val="22"/>
                <w:szCs w:val="22"/>
              </w:rPr>
              <w:t>168</w:t>
            </w:r>
          </w:p>
        </w:tc>
      </w:tr>
      <w:tr w:rsidR="00D84F9F" w:rsidRPr="008112A9" w14:paraId="303D7C3B" w14:textId="77777777" w:rsidTr="003672A6">
        <w:trPr>
          <w:trHeight w:hRule="exact" w:val="284"/>
          <w:jc w:val="center"/>
        </w:trPr>
        <w:tc>
          <w:tcPr>
            <w:tcW w:w="2263" w:type="dxa"/>
            <w:vAlign w:val="center"/>
          </w:tcPr>
          <w:p w14:paraId="67C63672" w14:textId="28285FE0" w:rsidR="00D84F9F" w:rsidRPr="008112A9" w:rsidRDefault="00D84F9F" w:rsidP="00D84F9F">
            <w:pPr>
              <w:ind w:left="0" w:firstLine="0"/>
              <w:jc w:val="left"/>
              <w:rPr>
                <w:b/>
                <w:sz w:val="22"/>
                <w:szCs w:val="22"/>
              </w:rPr>
            </w:pPr>
            <w:r>
              <w:rPr>
                <w:b/>
                <w:sz w:val="22"/>
                <w:szCs w:val="22"/>
              </w:rPr>
              <w:t>Bidford East</w:t>
            </w:r>
          </w:p>
        </w:tc>
        <w:tc>
          <w:tcPr>
            <w:tcW w:w="4820" w:type="dxa"/>
            <w:vAlign w:val="center"/>
          </w:tcPr>
          <w:p w14:paraId="3A23A741" w14:textId="6AEC3B1E" w:rsidR="00D84F9F" w:rsidRPr="00D84F9F" w:rsidRDefault="00D84F9F" w:rsidP="00D84F9F">
            <w:pPr>
              <w:spacing w:after="0"/>
              <w:ind w:left="0" w:firstLine="0"/>
              <w:jc w:val="center"/>
              <w:rPr>
                <w:rFonts w:cs="Calibri"/>
                <w:sz w:val="22"/>
                <w:szCs w:val="22"/>
                <w:lang w:eastAsia="en-GB"/>
              </w:rPr>
            </w:pPr>
            <w:r w:rsidRPr="00D84F9F">
              <w:rPr>
                <w:rFonts w:cs="Calibri"/>
                <w:color w:val="000000"/>
                <w:sz w:val="22"/>
                <w:szCs w:val="22"/>
              </w:rPr>
              <w:t>148</w:t>
            </w:r>
          </w:p>
        </w:tc>
      </w:tr>
      <w:tr w:rsidR="00D84F9F" w:rsidRPr="008112A9" w14:paraId="7E19EE25" w14:textId="77777777" w:rsidTr="003672A6">
        <w:trPr>
          <w:trHeight w:hRule="exact" w:val="284"/>
          <w:jc w:val="center"/>
        </w:trPr>
        <w:tc>
          <w:tcPr>
            <w:tcW w:w="2263" w:type="dxa"/>
            <w:vAlign w:val="center"/>
          </w:tcPr>
          <w:p w14:paraId="41D3B4CE" w14:textId="1894FC47" w:rsidR="00D84F9F" w:rsidRPr="008112A9" w:rsidRDefault="00D84F9F" w:rsidP="00D84F9F">
            <w:pPr>
              <w:ind w:left="0" w:firstLine="0"/>
              <w:jc w:val="left"/>
              <w:rPr>
                <w:b/>
                <w:sz w:val="22"/>
                <w:szCs w:val="22"/>
              </w:rPr>
            </w:pPr>
            <w:r>
              <w:rPr>
                <w:b/>
                <w:sz w:val="22"/>
                <w:szCs w:val="22"/>
              </w:rPr>
              <w:t>Guildhall</w:t>
            </w:r>
          </w:p>
        </w:tc>
        <w:tc>
          <w:tcPr>
            <w:tcW w:w="4820" w:type="dxa"/>
            <w:vAlign w:val="center"/>
          </w:tcPr>
          <w:p w14:paraId="71CC26B6" w14:textId="698E6A58" w:rsidR="00D84F9F" w:rsidRPr="00D84F9F" w:rsidRDefault="00D84F9F" w:rsidP="00D84F9F">
            <w:pPr>
              <w:spacing w:after="0"/>
              <w:ind w:left="0" w:firstLine="0"/>
              <w:jc w:val="center"/>
              <w:rPr>
                <w:rFonts w:cs="Calibri"/>
                <w:sz w:val="22"/>
                <w:szCs w:val="22"/>
                <w:lang w:eastAsia="en-GB"/>
              </w:rPr>
            </w:pPr>
            <w:r w:rsidRPr="00D84F9F">
              <w:rPr>
                <w:rFonts w:cs="Calibri"/>
                <w:color w:val="000000"/>
                <w:sz w:val="22"/>
                <w:szCs w:val="22"/>
              </w:rPr>
              <w:t>138</w:t>
            </w:r>
          </w:p>
        </w:tc>
      </w:tr>
      <w:tr w:rsidR="00D84F9F" w:rsidRPr="008112A9" w14:paraId="7F6BA1C1" w14:textId="77777777" w:rsidTr="003672A6">
        <w:trPr>
          <w:trHeight w:hRule="exact" w:val="284"/>
          <w:jc w:val="center"/>
        </w:trPr>
        <w:tc>
          <w:tcPr>
            <w:tcW w:w="2263" w:type="dxa"/>
            <w:vAlign w:val="center"/>
          </w:tcPr>
          <w:p w14:paraId="1A9C4077" w14:textId="23446191" w:rsidR="00D84F9F" w:rsidRDefault="00D84F9F" w:rsidP="00D84F9F">
            <w:pPr>
              <w:ind w:left="0" w:firstLine="0"/>
              <w:jc w:val="left"/>
              <w:rPr>
                <w:b/>
                <w:sz w:val="22"/>
                <w:szCs w:val="22"/>
              </w:rPr>
            </w:pPr>
            <w:r>
              <w:rPr>
                <w:b/>
                <w:sz w:val="22"/>
                <w:szCs w:val="22"/>
              </w:rPr>
              <w:t>Hathaway</w:t>
            </w:r>
          </w:p>
        </w:tc>
        <w:tc>
          <w:tcPr>
            <w:tcW w:w="4820" w:type="dxa"/>
            <w:vAlign w:val="center"/>
          </w:tcPr>
          <w:p w14:paraId="7761D66A" w14:textId="1792AAC2" w:rsidR="00D84F9F" w:rsidRPr="00D84F9F" w:rsidRDefault="00D84F9F" w:rsidP="00D84F9F">
            <w:pPr>
              <w:spacing w:after="0"/>
              <w:ind w:left="0" w:firstLine="0"/>
              <w:jc w:val="center"/>
              <w:rPr>
                <w:rFonts w:cs="Calibri"/>
                <w:sz w:val="22"/>
                <w:szCs w:val="22"/>
              </w:rPr>
            </w:pPr>
            <w:r w:rsidRPr="00D84F9F">
              <w:rPr>
                <w:rFonts w:cs="Calibri"/>
                <w:color w:val="000000"/>
                <w:sz w:val="22"/>
                <w:szCs w:val="22"/>
              </w:rPr>
              <w:t>128</w:t>
            </w:r>
          </w:p>
        </w:tc>
      </w:tr>
    </w:tbl>
    <w:p w14:paraId="29A21D33" w14:textId="77777777" w:rsidR="00B836AF" w:rsidRDefault="00B836AF" w:rsidP="00034A2D">
      <w:pPr>
        <w:pStyle w:val="ListParagraph"/>
        <w:ind w:right="421" w:firstLine="0"/>
        <w:jc w:val="left"/>
        <w:rPr>
          <w:color w:val="FF0000"/>
          <w:sz w:val="22"/>
          <w:szCs w:val="22"/>
        </w:rPr>
      </w:pPr>
    </w:p>
    <w:p w14:paraId="5D41D93F" w14:textId="145B24AD" w:rsidR="000223A1" w:rsidRPr="00610EF3" w:rsidRDefault="00D8547B" w:rsidP="00610EF3">
      <w:pPr>
        <w:pStyle w:val="ListParagraph"/>
        <w:numPr>
          <w:ilvl w:val="3"/>
          <w:numId w:val="20"/>
        </w:numPr>
        <w:ind w:left="709" w:right="420" w:hanging="709"/>
        <w:contextualSpacing w:val="0"/>
        <w:jc w:val="left"/>
        <w:rPr>
          <w:sz w:val="22"/>
          <w:szCs w:val="22"/>
        </w:rPr>
      </w:pPr>
      <w:r>
        <w:rPr>
          <w:sz w:val="22"/>
          <w:szCs w:val="22"/>
        </w:rPr>
        <w:t xml:space="preserve">While Avenue ward had the highest number of violent and sexual crimes recorded, </w:t>
      </w:r>
      <w:r w:rsidR="008A7BE8">
        <w:rPr>
          <w:sz w:val="22"/>
          <w:szCs w:val="22"/>
        </w:rPr>
        <w:t>Guildhall</w:t>
      </w:r>
      <w:r>
        <w:rPr>
          <w:sz w:val="22"/>
          <w:szCs w:val="22"/>
        </w:rPr>
        <w:t xml:space="preserve"> had the highest </w:t>
      </w:r>
      <w:r w:rsidRPr="005533C7">
        <w:rPr>
          <w:sz w:val="22"/>
          <w:szCs w:val="22"/>
        </w:rPr>
        <w:t>rate</w:t>
      </w:r>
      <w:r>
        <w:rPr>
          <w:sz w:val="22"/>
          <w:szCs w:val="22"/>
        </w:rPr>
        <w:t xml:space="preserve"> of violent and sexual crime per 1,000 </w:t>
      </w:r>
      <w:r w:rsidR="008A7BE8">
        <w:rPr>
          <w:sz w:val="22"/>
          <w:szCs w:val="22"/>
        </w:rPr>
        <w:t>people at 74</w:t>
      </w:r>
      <w:r w:rsidR="009B5BF8">
        <w:rPr>
          <w:sz w:val="22"/>
          <w:szCs w:val="22"/>
        </w:rPr>
        <w:t>.64, followed by Welcombe at 46.26 per 1,000.</w:t>
      </w:r>
    </w:p>
    <w:p w14:paraId="58612817" w14:textId="271162E4" w:rsidR="00265F1D" w:rsidRPr="000223A1" w:rsidRDefault="000223A1" w:rsidP="00610EF3">
      <w:pPr>
        <w:pStyle w:val="ListParagraph"/>
        <w:numPr>
          <w:ilvl w:val="3"/>
          <w:numId w:val="20"/>
        </w:numPr>
        <w:ind w:left="709" w:right="420" w:hanging="709"/>
        <w:contextualSpacing w:val="0"/>
        <w:jc w:val="left"/>
        <w:rPr>
          <w:sz w:val="22"/>
          <w:szCs w:val="22"/>
        </w:rPr>
      </w:pPr>
      <w:r w:rsidRPr="000223A1">
        <w:rPr>
          <w:sz w:val="22"/>
          <w:szCs w:val="22"/>
        </w:rPr>
        <w:t>T</w:t>
      </w:r>
      <w:r w:rsidR="00B836AF" w:rsidRPr="000223A1">
        <w:rPr>
          <w:sz w:val="22"/>
          <w:szCs w:val="22"/>
        </w:rPr>
        <w:t>able 4 shows the top 5 wards with the highest number of ‘</w:t>
      </w:r>
      <w:r w:rsidR="00B836AF" w:rsidRPr="005533C7">
        <w:rPr>
          <w:sz w:val="22"/>
          <w:szCs w:val="22"/>
        </w:rPr>
        <w:t>other theft’</w:t>
      </w:r>
      <w:r w:rsidR="00B836AF" w:rsidRPr="000223A1">
        <w:rPr>
          <w:sz w:val="22"/>
          <w:szCs w:val="22"/>
        </w:rPr>
        <w:t xml:space="preserve"> recorded crimes in the year to June 2022.</w:t>
      </w:r>
    </w:p>
    <w:p w14:paraId="188D79E9" w14:textId="5D095753" w:rsidR="006D7A52" w:rsidRPr="00AC7BD8" w:rsidRDefault="006D7A52" w:rsidP="00AC7BD8">
      <w:pPr>
        <w:pStyle w:val="Caption"/>
        <w:keepNext/>
        <w:ind w:hanging="11"/>
        <w:rPr>
          <w:i w:val="0"/>
          <w:iCs w:val="0"/>
          <w:color w:val="auto"/>
          <w:sz w:val="22"/>
          <w:szCs w:val="22"/>
        </w:rPr>
      </w:pPr>
      <w:r w:rsidRPr="00AC7BD8">
        <w:rPr>
          <w:i w:val="0"/>
          <w:iCs w:val="0"/>
          <w:color w:val="auto"/>
          <w:sz w:val="22"/>
          <w:szCs w:val="22"/>
        </w:rPr>
        <w:t xml:space="preserve">Table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Table \* ARABIC </w:instrText>
      </w:r>
      <w:r w:rsidR="00F61229" w:rsidRPr="00AC7BD8">
        <w:rPr>
          <w:i w:val="0"/>
          <w:iCs w:val="0"/>
          <w:color w:val="auto"/>
          <w:sz w:val="22"/>
          <w:szCs w:val="22"/>
        </w:rPr>
        <w:fldChar w:fldCharType="separate"/>
      </w:r>
      <w:r w:rsidR="00E94700" w:rsidRPr="00AC7BD8">
        <w:rPr>
          <w:i w:val="0"/>
          <w:iCs w:val="0"/>
          <w:noProof/>
          <w:color w:val="auto"/>
          <w:sz w:val="22"/>
          <w:szCs w:val="22"/>
        </w:rPr>
        <w:t>4</w:t>
      </w:r>
      <w:r w:rsidR="00F61229" w:rsidRPr="00AC7BD8">
        <w:rPr>
          <w:i w:val="0"/>
          <w:iCs w:val="0"/>
          <w:noProof/>
          <w:color w:val="auto"/>
          <w:sz w:val="22"/>
          <w:szCs w:val="22"/>
        </w:rPr>
        <w:fldChar w:fldCharType="end"/>
      </w:r>
    </w:p>
    <w:tbl>
      <w:tblPr>
        <w:tblStyle w:val="TableGrid"/>
        <w:tblW w:w="722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9"/>
        <w:gridCol w:w="3686"/>
      </w:tblGrid>
      <w:tr w:rsidR="00DD4CDF" w:rsidRPr="008112A9" w14:paraId="1D2D04BD" w14:textId="77777777" w:rsidTr="007709F9">
        <w:trPr>
          <w:trHeight w:hRule="exact" w:val="284"/>
          <w:jc w:val="center"/>
        </w:trPr>
        <w:tc>
          <w:tcPr>
            <w:tcW w:w="3539" w:type="dxa"/>
          </w:tcPr>
          <w:p w14:paraId="557BE5ED" w14:textId="77777777" w:rsidR="00DD4CDF" w:rsidRPr="008112A9" w:rsidRDefault="00DD4CDF" w:rsidP="00D13C50">
            <w:pPr>
              <w:ind w:left="0" w:firstLine="0"/>
              <w:rPr>
                <w:sz w:val="22"/>
                <w:szCs w:val="22"/>
              </w:rPr>
            </w:pPr>
          </w:p>
        </w:tc>
        <w:tc>
          <w:tcPr>
            <w:tcW w:w="3686" w:type="dxa"/>
          </w:tcPr>
          <w:p w14:paraId="0D309E13" w14:textId="5BED78F7" w:rsidR="00DD4CDF" w:rsidRPr="008112A9" w:rsidRDefault="00DD4CDF" w:rsidP="00D13C50">
            <w:pPr>
              <w:ind w:left="-10" w:firstLine="10"/>
              <w:jc w:val="center"/>
              <w:rPr>
                <w:b/>
                <w:sz w:val="22"/>
                <w:szCs w:val="22"/>
              </w:rPr>
            </w:pPr>
            <w:r>
              <w:rPr>
                <w:b/>
                <w:sz w:val="22"/>
                <w:szCs w:val="22"/>
              </w:rPr>
              <w:t>Count</w:t>
            </w:r>
            <w:r w:rsidR="005079F6">
              <w:rPr>
                <w:b/>
                <w:sz w:val="22"/>
                <w:szCs w:val="22"/>
              </w:rPr>
              <w:t>: ‘Other theft’</w:t>
            </w:r>
          </w:p>
        </w:tc>
      </w:tr>
      <w:tr w:rsidR="000F649A" w:rsidRPr="008112A9" w14:paraId="0D6669A3" w14:textId="77777777" w:rsidTr="003672A6">
        <w:trPr>
          <w:trHeight w:hRule="exact" w:val="284"/>
          <w:jc w:val="center"/>
        </w:trPr>
        <w:tc>
          <w:tcPr>
            <w:tcW w:w="3539" w:type="dxa"/>
            <w:vAlign w:val="center"/>
          </w:tcPr>
          <w:p w14:paraId="7419544A" w14:textId="77777777" w:rsidR="000F649A" w:rsidRPr="008112A9" w:rsidRDefault="000F649A" w:rsidP="000F649A">
            <w:pPr>
              <w:tabs>
                <w:tab w:val="center" w:pos="1948"/>
              </w:tabs>
              <w:ind w:left="0" w:firstLine="0"/>
              <w:jc w:val="left"/>
              <w:rPr>
                <w:b/>
                <w:sz w:val="22"/>
                <w:szCs w:val="22"/>
              </w:rPr>
            </w:pPr>
            <w:r>
              <w:rPr>
                <w:b/>
                <w:sz w:val="22"/>
                <w:szCs w:val="22"/>
              </w:rPr>
              <w:t>Welcombe</w:t>
            </w:r>
          </w:p>
        </w:tc>
        <w:tc>
          <w:tcPr>
            <w:tcW w:w="3686" w:type="dxa"/>
          </w:tcPr>
          <w:p w14:paraId="0AC39CE3" w14:textId="2C9537B3" w:rsidR="000F649A" w:rsidRPr="00692041" w:rsidRDefault="000F649A" w:rsidP="000F649A">
            <w:pPr>
              <w:spacing w:after="0"/>
              <w:ind w:left="0" w:firstLine="0"/>
              <w:jc w:val="center"/>
              <w:rPr>
                <w:rFonts w:cs="Calibri"/>
                <w:sz w:val="22"/>
                <w:szCs w:val="22"/>
                <w:lang w:eastAsia="en-GB"/>
              </w:rPr>
            </w:pPr>
            <w:r w:rsidRPr="00692041">
              <w:rPr>
                <w:sz w:val="22"/>
                <w:szCs w:val="22"/>
              </w:rPr>
              <w:t>78</w:t>
            </w:r>
          </w:p>
        </w:tc>
      </w:tr>
      <w:tr w:rsidR="000F649A" w:rsidRPr="008112A9" w14:paraId="0099D88C" w14:textId="77777777" w:rsidTr="003672A6">
        <w:trPr>
          <w:trHeight w:hRule="exact" w:val="284"/>
          <w:jc w:val="center"/>
        </w:trPr>
        <w:tc>
          <w:tcPr>
            <w:tcW w:w="3539" w:type="dxa"/>
            <w:vAlign w:val="center"/>
          </w:tcPr>
          <w:p w14:paraId="746F1788" w14:textId="42F1864D" w:rsidR="000F649A" w:rsidRDefault="000F649A" w:rsidP="000F649A">
            <w:pPr>
              <w:tabs>
                <w:tab w:val="center" w:pos="1948"/>
              </w:tabs>
              <w:ind w:left="0" w:firstLine="0"/>
              <w:jc w:val="left"/>
              <w:rPr>
                <w:b/>
                <w:sz w:val="22"/>
                <w:szCs w:val="22"/>
              </w:rPr>
            </w:pPr>
            <w:r>
              <w:rPr>
                <w:b/>
                <w:sz w:val="22"/>
                <w:szCs w:val="22"/>
              </w:rPr>
              <w:t>Avenue</w:t>
            </w:r>
          </w:p>
        </w:tc>
        <w:tc>
          <w:tcPr>
            <w:tcW w:w="3686" w:type="dxa"/>
          </w:tcPr>
          <w:p w14:paraId="64E6AD79" w14:textId="738686E5" w:rsidR="000F649A" w:rsidRPr="00692041" w:rsidRDefault="000F649A" w:rsidP="000F649A">
            <w:pPr>
              <w:spacing w:after="0"/>
              <w:ind w:left="0" w:firstLine="0"/>
              <w:jc w:val="center"/>
              <w:rPr>
                <w:rFonts w:cs="Calibri"/>
                <w:color w:val="000000"/>
                <w:sz w:val="22"/>
                <w:szCs w:val="22"/>
              </w:rPr>
            </w:pPr>
            <w:r w:rsidRPr="00692041">
              <w:rPr>
                <w:sz w:val="22"/>
                <w:szCs w:val="22"/>
              </w:rPr>
              <w:t>72</w:t>
            </w:r>
          </w:p>
        </w:tc>
      </w:tr>
      <w:tr w:rsidR="000F649A" w:rsidRPr="008112A9" w14:paraId="3D8C46B8" w14:textId="77777777" w:rsidTr="003672A6">
        <w:trPr>
          <w:trHeight w:hRule="exact" w:val="284"/>
          <w:jc w:val="center"/>
        </w:trPr>
        <w:tc>
          <w:tcPr>
            <w:tcW w:w="3539" w:type="dxa"/>
            <w:vAlign w:val="center"/>
          </w:tcPr>
          <w:p w14:paraId="2CEF5C65" w14:textId="492547CC" w:rsidR="000F649A" w:rsidRPr="008112A9" w:rsidRDefault="000F649A" w:rsidP="000F649A">
            <w:pPr>
              <w:ind w:left="0" w:firstLine="0"/>
              <w:jc w:val="left"/>
              <w:rPr>
                <w:b/>
                <w:sz w:val="22"/>
                <w:szCs w:val="22"/>
              </w:rPr>
            </w:pPr>
            <w:r>
              <w:rPr>
                <w:b/>
                <w:sz w:val="22"/>
                <w:szCs w:val="22"/>
              </w:rPr>
              <w:t>Studley with Sambourne</w:t>
            </w:r>
          </w:p>
        </w:tc>
        <w:tc>
          <w:tcPr>
            <w:tcW w:w="3686" w:type="dxa"/>
          </w:tcPr>
          <w:p w14:paraId="75B861C9" w14:textId="00194071" w:rsidR="000F649A" w:rsidRPr="00692041" w:rsidRDefault="000F649A" w:rsidP="000F649A">
            <w:pPr>
              <w:spacing w:after="0"/>
              <w:ind w:left="0" w:firstLine="0"/>
              <w:jc w:val="center"/>
              <w:rPr>
                <w:rFonts w:cs="Calibri"/>
                <w:sz w:val="22"/>
                <w:szCs w:val="22"/>
                <w:lang w:eastAsia="en-GB"/>
              </w:rPr>
            </w:pPr>
            <w:r w:rsidRPr="00692041">
              <w:rPr>
                <w:sz w:val="22"/>
                <w:szCs w:val="22"/>
              </w:rPr>
              <w:t>43</w:t>
            </w:r>
          </w:p>
        </w:tc>
      </w:tr>
      <w:tr w:rsidR="000F649A" w:rsidRPr="008112A9" w14:paraId="2E64A685" w14:textId="77777777" w:rsidTr="003672A6">
        <w:trPr>
          <w:trHeight w:hRule="exact" w:val="284"/>
          <w:jc w:val="center"/>
        </w:trPr>
        <w:tc>
          <w:tcPr>
            <w:tcW w:w="3539" w:type="dxa"/>
            <w:vAlign w:val="center"/>
          </w:tcPr>
          <w:p w14:paraId="4981CD7F" w14:textId="77777777" w:rsidR="000F649A" w:rsidRPr="008112A9" w:rsidRDefault="000F649A" w:rsidP="000F649A">
            <w:pPr>
              <w:ind w:left="0" w:firstLine="0"/>
              <w:jc w:val="left"/>
              <w:rPr>
                <w:b/>
                <w:sz w:val="22"/>
                <w:szCs w:val="22"/>
              </w:rPr>
            </w:pPr>
            <w:r>
              <w:rPr>
                <w:b/>
                <w:sz w:val="22"/>
                <w:szCs w:val="22"/>
              </w:rPr>
              <w:t>Guildhall</w:t>
            </w:r>
          </w:p>
        </w:tc>
        <w:tc>
          <w:tcPr>
            <w:tcW w:w="3686" w:type="dxa"/>
          </w:tcPr>
          <w:p w14:paraId="13B55403" w14:textId="51A8565D" w:rsidR="000F649A" w:rsidRPr="00692041" w:rsidRDefault="000F649A" w:rsidP="000F649A">
            <w:pPr>
              <w:spacing w:after="0"/>
              <w:ind w:left="0" w:firstLine="0"/>
              <w:jc w:val="center"/>
              <w:rPr>
                <w:rFonts w:cs="Calibri"/>
                <w:sz w:val="22"/>
                <w:szCs w:val="22"/>
                <w:lang w:eastAsia="en-GB"/>
              </w:rPr>
            </w:pPr>
            <w:r w:rsidRPr="00692041">
              <w:rPr>
                <w:sz w:val="22"/>
                <w:szCs w:val="22"/>
              </w:rPr>
              <w:t>41</w:t>
            </w:r>
          </w:p>
        </w:tc>
      </w:tr>
      <w:tr w:rsidR="000F649A" w:rsidRPr="008112A9" w14:paraId="12CFED7C" w14:textId="77777777" w:rsidTr="003672A6">
        <w:trPr>
          <w:trHeight w:hRule="exact" w:val="284"/>
          <w:jc w:val="center"/>
        </w:trPr>
        <w:tc>
          <w:tcPr>
            <w:tcW w:w="3539" w:type="dxa"/>
            <w:vAlign w:val="center"/>
          </w:tcPr>
          <w:p w14:paraId="66551554" w14:textId="72D39B1C" w:rsidR="000F649A" w:rsidRDefault="000F649A" w:rsidP="000F649A">
            <w:pPr>
              <w:ind w:left="0" w:firstLine="0"/>
              <w:jc w:val="left"/>
              <w:rPr>
                <w:b/>
                <w:sz w:val="22"/>
                <w:szCs w:val="22"/>
              </w:rPr>
            </w:pPr>
            <w:r>
              <w:rPr>
                <w:b/>
                <w:sz w:val="22"/>
                <w:szCs w:val="22"/>
              </w:rPr>
              <w:t>Harbury</w:t>
            </w:r>
          </w:p>
        </w:tc>
        <w:tc>
          <w:tcPr>
            <w:tcW w:w="3686" w:type="dxa"/>
          </w:tcPr>
          <w:p w14:paraId="69202FA0" w14:textId="7E566029" w:rsidR="000F649A" w:rsidRPr="00692041" w:rsidRDefault="000F649A" w:rsidP="000F649A">
            <w:pPr>
              <w:spacing w:after="0"/>
              <w:ind w:left="0" w:firstLine="0"/>
              <w:jc w:val="center"/>
              <w:rPr>
                <w:rFonts w:cs="Calibri"/>
                <w:sz w:val="22"/>
                <w:szCs w:val="22"/>
              </w:rPr>
            </w:pPr>
            <w:r w:rsidRPr="00692041">
              <w:rPr>
                <w:sz w:val="22"/>
                <w:szCs w:val="22"/>
              </w:rPr>
              <w:t>38</w:t>
            </w:r>
          </w:p>
        </w:tc>
      </w:tr>
    </w:tbl>
    <w:p w14:paraId="4F5A762E" w14:textId="77777777" w:rsidR="00F53323" w:rsidRPr="000C2EB7" w:rsidRDefault="00F53323" w:rsidP="00A97E91">
      <w:pPr>
        <w:pStyle w:val="ListParagraph"/>
        <w:jc w:val="left"/>
        <w:rPr>
          <w:color w:val="FF0000"/>
          <w:sz w:val="22"/>
          <w:szCs w:val="22"/>
        </w:rPr>
      </w:pPr>
    </w:p>
    <w:p w14:paraId="6E630889" w14:textId="43585480" w:rsidR="003A0454" w:rsidRPr="00610EF3" w:rsidRDefault="00DF4DB2" w:rsidP="00610EF3">
      <w:pPr>
        <w:pStyle w:val="ListParagraph"/>
        <w:numPr>
          <w:ilvl w:val="3"/>
          <w:numId w:val="20"/>
        </w:numPr>
        <w:ind w:left="709" w:right="420" w:hanging="709"/>
        <w:contextualSpacing w:val="0"/>
        <w:jc w:val="left"/>
        <w:rPr>
          <w:sz w:val="22"/>
          <w:szCs w:val="22"/>
        </w:rPr>
      </w:pPr>
      <w:r>
        <w:rPr>
          <w:sz w:val="22"/>
          <w:szCs w:val="22"/>
        </w:rPr>
        <w:t xml:space="preserve">While Welcombe ward had the highest number of ‘other theft’ crimes recorded, Guildhall ward had the </w:t>
      </w:r>
      <w:r w:rsidRPr="005533C7">
        <w:rPr>
          <w:sz w:val="22"/>
          <w:szCs w:val="22"/>
        </w:rPr>
        <w:t>highest rate of other theft crimes out of all Warwickshire wards,</w:t>
      </w:r>
      <w:r>
        <w:rPr>
          <w:sz w:val="22"/>
          <w:szCs w:val="22"/>
        </w:rPr>
        <w:t xml:space="preserve"> at 22.17</w:t>
      </w:r>
      <w:r w:rsidR="0023412A">
        <w:rPr>
          <w:sz w:val="22"/>
          <w:szCs w:val="22"/>
        </w:rPr>
        <w:t>; Welcombe was second highest in Warwickshire with 21.48.</w:t>
      </w:r>
    </w:p>
    <w:p w14:paraId="1624497C" w14:textId="4B71BCF0" w:rsidR="00F53323" w:rsidRPr="003A0454" w:rsidRDefault="00F53323" w:rsidP="00610EF3">
      <w:pPr>
        <w:pStyle w:val="ListParagraph"/>
        <w:numPr>
          <w:ilvl w:val="3"/>
          <w:numId w:val="20"/>
        </w:numPr>
        <w:ind w:left="709" w:right="420" w:hanging="709"/>
        <w:contextualSpacing w:val="0"/>
        <w:jc w:val="left"/>
        <w:rPr>
          <w:sz w:val="22"/>
          <w:szCs w:val="22"/>
        </w:rPr>
      </w:pPr>
      <w:r w:rsidRPr="003A0454">
        <w:rPr>
          <w:sz w:val="22"/>
          <w:szCs w:val="22"/>
        </w:rPr>
        <w:t>T</w:t>
      </w:r>
      <w:r w:rsidR="002F40C7" w:rsidRPr="003A0454">
        <w:rPr>
          <w:sz w:val="22"/>
          <w:szCs w:val="22"/>
        </w:rPr>
        <w:t xml:space="preserve">able 5 shows the top 5 wards with the highest number of </w:t>
      </w:r>
      <w:r w:rsidR="005533C7">
        <w:rPr>
          <w:sz w:val="22"/>
          <w:szCs w:val="22"/>
        </w:rPr>
        <w:t>v</w:t>
      </w:r>
      <w:r w:rsidR="00E340C4" w:rsidRPr="005533C7">
        <w:rPr>
          <w:sz w:val="22"/>
          <w:szCs w:val="22"/>
        </w:rPr>
        <w:t>ehicle crimes</w:t>
      </w:r>
      <w:r w:rsidR="00E340C4" w:rsidRPr="003A0454">
        <w:rPr>
          <w:sz w:val="22"/>
          <w:szCs w:val="22"/>
        </w:rPr>
        <w:t xml:space="preserve"> recorded in t</w:t>
      </w:r>
      <w:r w:rsidRPr="003A0454">
        <w:rPr>
          <w:sz w:val="22"/>
          <w:szCs w:val="22"/>
        </w:rPr>
        <w:t xml:space="preserve">he </w:t>
      </w:r>
      <w:r w:rsidR="00E340C4" w:rsidRPr="003A0454">
        <w:rPr>
          <w:sz w:val="22"/>
          <w:szCs w:val="22"/>
        </w:rPr>
        <w:t xml:space="preserve">year to June 2022. </w:t>
      </w:r>
    </w:p>
    <w:p w14:paraId="5416FED4" w14:textId="35216CC4" w:rsidR="006D7A52" w:rsidRPr="00AC7BD8" w:rsidRDefault="006D7A52" w:rsidP="00AC7BD8">
      <w:pPr>
        <w:pStyle w:val="Caption"/>
        <w:keepNext/>
        <w:ind w:hanging="11"/>
        <w:rPr>
          <w:i w:val="0"/>
          <w:iCs w:val="0"/>
          <w:color w:val="auto"/>
          <w:sz w:val="22"/>
          <w:szCs w:val="22"/>
        </w:rPr>
      </w:pPr>
      <w:r w:rsidRPr="00AC7BD8">
        <w:rPr>
          <w:i w:val="0"/>
          <w:iCs w:val="0"/>
          <w:color w:val="auto"/>
          <w:sz w:val="22"/>
          <w:szCs w:val="22"/>
        </w:rPr>
        <w:t xml:space="preserve">Table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Table \* ARABIC </w:instrText>
      </w:r>
      <w:r w:rsidR="00F61229" w:rsidRPr="00AC7BD8">
        <w:rPr>
          <w:i w:val="0"/>
          <w:iCs w:val="0"/>
          <w:color w:val="auto"/>
          <w:sz w:val="22"/>
          <w:szCs w:val="22"/>
        </w:rPr>
        <w:fldChar w:fldCharType="separate"/>
      </w:r>
      <w:r w:rsidR="00E94700" w:rsidRPr="00AC7BD8">
        <w:rPr>
          <w:i w:val="0"/>
          <w:iCs w:val="0"/>
          <w:noProof/>
          <w:color w:val="auto"/>
          <w:sz w:val="22"/>
          <w:szCs w:val="22"/>
        </w:rPr>
        <w:t>5</w:t>
      </w:r>
      <w:r w:rsidR="00F61229" w:rsidRPr="00AC7BD8">
        <w:rPr>
          <w:i w:val="0"/>
          <w:iCs w:val="0"/>
          <w:noProof/>
          <w:color w:val="auto"/>
          <w:sz w:val="22"/>
          <w:szCs w:val="22"/>
        </w:rPr>
        <w:fldChar w:fldCharType="end"/>
      </w:r>
    </w:p>
    <w:tbl>
      <w:tblPr>
        <w:tblStyle w:val="TableGrid"/>
        <w:tblW w:w="7083"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97"/>
        <w:gridCol w:w="3686"/>
      </w:tblGrid>
      <w:tr w:rsidR="00E340C4" w:rsidRPr="008112A9" w14:paraId="3A8AEFEA" w14:textId="77777777" w:rsidTr="007709F9">
        <w:trPr>
          <w:trHeight w:hRule="exact" w:val="284"/>
          <w:jc w:val="center"/>
        </w:trPr>
        <w:tc>
          <w:tcPr>
            <w:tcW w:w="3397" w:type="dxa"/>
          </w:tcPr>
          <w:p w14:paraId="31226C94" w14:textId="77777777" w:rsidR="00E340C4" w:rsidRPr="008112A9" w:rsidRDefault="00E340C4" w:rsidP="00D13C50">
            <w:pPr>
              <w:ind w:left="0" w:firstLine="0"/>
              <w:rPr>
                <w:sz w:val="22"/>
                <w:szCs w:val="22"/>
              </w:rPr>
            </w:pPr>
          </w:p>
        </w:tc>
        <w:tc>
          <w:tcPr>
            <w:tcW w:w="3686" w:type="dxa"/>
          </w:tcPr>
          <w:p w14:paraId="10AC3C1D" w14:textId="4997640C" w:rsidR="00E340C4" w:rsidRPr="008112A9" w:rsidRDefault="00E340C4" w:rsidP="00D13C50">
            <w:pPr>
              <w:ind w:left="-10" w:firstLine="10"/>
              <w:jc w:val="center"/>
              <w:rPr>
                <w:b/>
                <w:sz w:val="22"/>
                <w:szCs w:val="22"/>
              </w:rPr>
            </w:pPr>
            <w:r>
              <w:rPr>
                <w:b/>
                <w:sz w:val="22"/>
                <w:szCs w:val="22"/>
              </w:rPr>
              <w:t xml:space="preserve">Count: </w:t>
            </w:r>
            <w:r w:rsidR="00024FF5">
              <w:rPr>
                <w:b/>
                <w:sz w:val="22"/>
                <w:szCs w:val="22"/>
              </w:rPr>
              <w:t>Vehicle crime</w:t>
            </w:r>
          </w:p>
        </w:tc>
      </w:tr>
      <w:tr w:rsidR="00024FF5" w:rsidRPr="008112A9" w14:paraId="3E36BC57" w14:textId="77777777" w:rsidTr="003672A6">
        <w:trPr>
          <w:trHeight w:hRule="exact" w:val="284"/>
          <w:jc w:val="center"/>
        </w:trPr>
        <w:tc>
          <w:tcPr>
            <w:tcW w:w="3397" w:type="dxa"/>
            <w:vAlign w:val="center"/>
          </w:tcPr>
          <w:p w14:paraId="7F22B381" w14:textId="10E42277" w:rsidR="00024FF5" w:rsidRPr="008112A9" w:rsidRDefault="00024FF5" w:rsidP="00024FF5">
            <w:pPr>
              <w:tabs>
                <w:tab w:val="center" w:pos="1948"/>
              </w:tabs>
              <w:ind w:left="0" w:firstLine="0"/>
              <w:jc w:val="left"/>
              <w:rPr>
                <w:b/>
                <w:sz w:val="22"/>
                <w:szCs w:val="22"/>
              </w:rPr>
            </w:pPr>
            <w:r>
              <w:rPr>
                <w:b/>
                <w:sz w:val="22"/>
                <w:szCs w:val="22"/>
              </w:rPr>
              <w:t>Harbury</w:t>
            </w:r>
          </w:p>
        </w:tc>
        <w:tc>
          <w:tcPr>
            <w:tcW w:w="3686" w:type="dxa"/>
          </w:tcPr>
          <w:p w14:paraId="714D5159" w14:textId="4572CDED" w:rsidR="00024FF5" w:rsidRPr="00692041" w:rsidRDefault="00024FF5" w:rsidP="00024FF5">
            <w:pPr>
              <w:spacing w:after="0"/>
              <w:ind w:left="0" w:firstLine="0"/>
              <w:jc w:val="center"/>
              <w:rPr>
                <w:rFonts w:cs="Calibri"/>
                <w:sz w:val="22"/>
                <w:szCs w:val="22"/>
                <w:lang w:eastAsia="en-GB"/>
              </w:rPr>
            </w:pPr>
            <w:r w:rsidRPr="00692041">
              <w:rPr>
                <w:sz w:val="22"/>
                <w:szCs w:val="22"/>
              </w:rPr>
              <w:t>51</w:t>
            </w:r>
          </w:p>
        </w:tc>
      </w:tr>
      <w:tr w:rsidR="00024FF5" w:rsidRPr="008112A9" w14:paraId="1D956BB4" w14:textId="77777777" w:rsidTr="003672A6">
        <w:trPr>
          <w:trHeight w:hRule="exact" w:val="284"/>
          <w:jc w:val="center"/>
        </w:trPr>
        <w:tc>
          <w:tcPr>
            <w:tcW w:w="3397" w:type="dxa"/>
            <w:vAlign w:val="center"/>
          </w:tcPr>
          <w:p w14:paraId="54E43CEE" w14:textId="77777777" w:rsidR="00024FF5" w:rsidRDefault="00024FF5" w:rsidP="00024FF5">
            <w:pPr>
              <w:tabs>
                <w:tab w:val="center" w:pos="1948"/>
              </w:tabs>
              <w:ind w:left="0" w:firstLine="0"/>
              <w:jc w:val="left"/>
              <w:rPr>
                <w:b/>
                <w:sz w:val="22"/>
                <w:szCs w:val="22"/>
              </w:rPr>
            </w:pPr>
            <w:r>
              <w:rPr>
                <w:b/>
                <w:sz w:val="22"/>
                <w:szCs w:val="22"/>
              </w:rPr>
              <w:t>Avenue</w:t>
            </w:r>
          </w:p>
        </w:tc>
        <w:tc>
          <w:tcPr>
            <w:tcW w:w="3686" w:type="dxa"/>
          </w:tcPr>
          <w:p w14:paraId="530262CE" w14:textId="66B313D9" w:rsidR="00024FF5" w:rsidRPr="00692041" w:rsidRDefault="00024FF5" w:rsidP="00024FF5">
            <w:pPr>
              <w:spacing w:after="0"/>
              <w:ind w:left="0" w:firstLine="0"/>
              <w:jc w:val="center"/>
              <w:rPr>
                <w:rFonts w:cs="Calibri"/>
                <w:color w:val="000000"/>
                <w:sz w:val="22"/>
                <w:szCs w:val="22"/>
              </w:rPr>
            </w:pPr>
            <w:r w:rsidRPr="00692041">
              <w:rPr>
                <w:sz w:val="22"/>
                <w:szCs w:val="22"/>
              </w:rPr>
              <w:t>50</w:t>
            </w:r>
          </w:p>
        </w:tc>
      </w:tr>
      <w:tr w:rsidR="00024FF5" w:rsidRPr="008112A9" w14:paraId="20D6A4B5" w14:textId="77777777" w:rsidTr="003672A6">
        <w:trPr>
          <w:trHeight w:hRule="exact" w:val="284"/>
          <w:jc w:val="center"/>
        </w:trPr>
        <w:tc>
          <w:tcPr>
            <w:tcW w:w="3397" w:type="dxa"/>
            <w:vAlign w:val="center"/>
          </w:tcPr>
          <w:p w14:paraId="08519D54" w14:textId="052B049C" w:rsidR="00024FF5" w:rsidRPr="008112A9" w:rsidRDefault="00024FF5" w:rsidP="00024FF5">
            <w:pPr>
              <w:ind w:left="0" w:firstLine="0"/>
              <w:jc w:val="left"/>
              <w:rPr>
                <w:b/>
                <w:sz w:val="22"/>
                <w:szCs w:val="22"/>
              </w:rPr>
            </w:pPr>
            <w:r>
              <w:rPr>
                <w:b/>
                <w:sz w:val="22"/>
                <w:szCs w:val="22"/>
              </w:rPr>
              <w:t>Tanworth-in-Arden</w:t>
            </w:r>
          </w:p>
        </w:tc>
        <w:tc>
          <w:tcPr>
            <w:tcW w:w="3686" w:type="dxa"/>
          </w:tcPr>
          <w:p w14:paraId="3E0D5730" w14:textId="3C58FC18" w:rsidR="00024FF5" w:rsidRPr="00692041" w:rsidRDefault="00024FF5" w:rsidP="00024FF5">
            <w:pPr>
              <w:spacing w:after="0"/>
              <w:ind w:left="0" w:firstLine="0"/>
              <w:jc w:val="center"/>
              <w:rPr>
                <w:rFonts w:cs="Calibri"/>
                <w:sz w:val="22"/>
                <w:szCs w:val="22"/>
                <w:lang w:eastAsia="en-GB"/>
              </w:rPr>
            </w:pPr>
            <w:r w:rsidRPr="00692041">
              <w:rPr>
                <w:sz w:val="22"/>
                <w:szCs w:val="22"/>
              </w:rPr>
              <w:t>48</w:t>
            </w:r>
          </w:p>
        </w:tc>
      </w:tr>
      <w:tr w:rsidR="00024FF5" w:rsidRPr="008112A9" w14:paraId="47885EBB" w14:textId="77777777" w:rsidTr="003672A6">
        <w:trPr>
          <w:trHeight w:hRule="exact" w:val="284"/>
          <w:jc w:val="center"/>
        </w:trPr>
        <w:tc>
          <w:tcPr>
            <w:tcW w:w="3397" w:type="dxa"/>
            <w:vAlign w:val="center"/>
          </w:tcPr>
          <w:p w14:paraId="6579662E" w14:textId="49089232" w:rsidR="00024FF5" w:rsidRPr="008112A9" w:rsidRDefault="00024FF5" w:rsidP="00024FF5">
            <w:pPr>
              <w:ind w:left="0" w:firstLine="0"/>
              <w:jc w:val="left"/>
              <w:rPr>
                <w:b/>
                <w:sz w:val="22"/>
                <w:szCs w:val="22"/>
              </w:rPr>
            </w:pPr>
            <w:r>
              <w:rPr>
                <w:b/>
                <w:sz w:val="22"/>
                <w:szCs w:val="22"/>
              </w:rPr>
              <w:t>Welford-on-Avon</w:t>
            </w:r>
          </w:p>
        </w:tc>
        <w:tc>
          <w:tcPr>
            <w:tcW w:w="3686" w:type="dxa"/>
          </w:tcPr>
          <w:p w14:paraId="7D51D5EA" w14:textId="79C07C4E" w:rsidR="00024FF5" w:rsidRPr="00692041" w:rsidRDefault="00024FF5" w:rsidP="00024FF5">
            <w:pPr>
              <w:spacing w:after="0"/>
              <w:ind w:left="0" w:firstLine="0"/>
              <w:jc w:val="center"/>
              <w:rPr>
                <w:rFonts w:cs="Calibri"/>
                <w:sz w:val="22"/>
                <w:szCs w:val="22"/>
                <w:lang w:eastAsia="en-GB"/>
              </w:rPr>
            </w:pPr>
            <w:r w:rsidRPr="00692041">
              <w:rPr>
                <w:sz w:val="22"/>
                <w:szCs w:val="22"/>
              </w:rPr>
              <w:t>45</w:t>
            </w:r>
          </w:p>
        </w:tc>
      </w:tr>
      <w:tr w:rsidR="00024FF5" w:rsidRPr="008112A9" w14:paraId="14589BD4" w14:textId="77777777" w:rsidTr="003672A6">
        <w:trPr>
          <w:trHeight w:hRule="exact" w:val="284"/>
          <w:jc w:val="center"/>
        </w:trPr>
        <w:tc>
          <w:tcPr>
            <w:tcW w:w="3397" w:type="dxa"/>
            <w:vAlign w:val="center"/>
          </w:tcPr>
          <w:p w14:paraId="55A6F4FD" w14:textId="6DA3CD6C" w:rsidR="00024FF5" w:rsidRDefault="00024FF5" w:rsidP="00024FF5">
            <w:pPr>
              <w:ind w:left="0" w:firstLine="0"/>
              <w:jc w:val="left"/>
              <w:rPr>
                <w:b/>
                <w:sz w:val="22"/>
                <w:szCs w:val="22"/>
              </w:rPr>
            </w:pPr>
            <w:r>
              <w:rPr>
                <w:b/>
                <w:sz w:val="22"/>
                <w:szCs w:val="22"/>
              </w:rPr>
              <w:t>Alcester Town</w:t>
            </w:r>
          </w:p>
        </w:tc>
        <w:tc>
          <w:tcPr>
            <w:tcW w:w="3686" w:type="dxa"/>
          </w:tcPr>
          <w:p w14:paraId="01116B93" w14:textId="565C7B11" w:rsidR="00024FF5" w:rsidRPr="00692041" w:rsidRDefault="00024FF5" w:rsidP="00024FF5">
            <w:pPr>
              <w:spacing w:after="0"/>
              <w:ind w:left="0" w:firstLine="0"/>
              <w:jc w:val="center"/>
              <w:rPr>
                <w:rFonts w:cs="Calibri"/>
                <w:sz w:val="22"/>
                <w:szCs w:val="22"/>
              </w:rPr>
            </w:pPr>
            <w:r w:rsidRPr="00692041">
              <w:rPr>
                <w:sz w:val="22"/>
                <w:szCs w:val="22"/>
              </w:rPr>
              <w:t>41</w:t>
            </w:r>
          </w:p>
        </w:tc>
      </w:tr>
    </w:tbl>
    <w:p w14:paraId="7C64BA77" w14:textId="77777777" w:rsidR="00E340C4" w:rsidRPr="00E340C4" w:rsidRDefault="00E340C4" w:rsidP="00E340C4">
      <w:pPr>
        <w:jc w:val="left"/>
        <w:rPr>
          <w:color w:val="FF0000"/>
          <w:sz w:val="22"/>
          <w:szCs w:val="22"/>
        </w:rPr>
      </w:pPr>
    </w:p>
    <w:p w14:paraId="59E98BB0" w14:textId="6D3B35E1" w:rsidR="000223A1" w:rsidRPr="00610EF3" w:rsidRDefault="002D173D" w:rsidP="00610EF3">
      <w:pPr>
        <w:pStyle w:val="ListParagraph"/>
        <w:numPr>
          <w:ilvl w:val="3"/>
          <w:numId w:val="20"/>
        </w:numPr>
        <w:ind w:left="709" w:right="420" w:hanging="709"/>
        <w:contextualSpacing w:val="0"/>
        <w:jc w:val="left"/>
        <w:rPr>
          <w:sz w:val="22"/>
          <w:szCs w:val="22"/>
        </w:rPr>
      </w:pPr>
      <w:r w:rsidRPr="00EA7D37">
        <w:rPr>
          <w:sz w:val="22"/>
          <w:szCs w:val="22"/>
        </w:rPr>
        <w:t xml:space="preserve">While Harbury had the highest number of recorded </w:t>
      </w:r>
      <w:r w:rsidR="00FF53CD">
        <w:rPr>
          <w:sz w:val="22"/>
          <w:szCs w:val="22"/>
        </w:rPr>
        <w:t>v</w:t>
      </w:r>
      <w:r w:rsidRPr="00EA7D37">
        <w:rPr>
          <w:sz w:val="22"/>
          <w:szCs w:val="22"/>
        </w:rPr>
        <w:t xml:space="preserve">ehicle crimes, Tanworth-in-Arden ward had the highest </w:t>
      </w:r>
      <w:r w:rsidRPr="00FF53CD">
        <w:rPr>
          <w:sz w:val="22"/>
          <w:szCs w:val="22"/>
        </w:rPr>
        <w:t>rate</w:t>
      </w:r>
      <w:r w:rsidRPr="00EA7D37">
        <w:rPr>
          <w:sz w:val="22"/>
          <w:szCs w:val="22"/>
        </w:rPr>
        <w:t xml:space="preserve"> at </w:t>
      </w:r>
      <w:r w:rsidR="00EA7D37" w:rsidRPr="00EA7D37">
        <w:rPr>
          <w:sz w:val="22"/>
          <w:szCs w:val="22"/>
        </w:rPr>
        <w:t>12.34 per 1,000 with Harbury second at 10.</w:t>
      </w:r>
    </w:p>
    <w:p w14:paraId="68CCAA75" w14:textId="1FF57CAC" w:rsidR="00DE7F38" w:rsidRPr="000223A1" w:rsidRDefault="00C65300" w:rsidP="00610EF3">
      <w:pPr>
        <w:pStyle w:val="ListParagraph"/>
        <w:numPr>
          <w:ilvl w:val="3"/>
          <w:numId w:val="20"/>
        </w:numPr>
        <w:ind w:left="709" w:right="420" w:hanging="709"/>
        <w:contextualSpacing w:val="0"/>
        <w:jc w:val="left"/>
        <w:rPr>
          <w:sz w:val="22"/>
          <w:szCs w:val="22"/>
        </w:rPr>
      </w:pPr>
      <w:r w:rsidRPr="000223A1">
        <w:rPr>
          <w:sz w:val="22"/>
          <w:szCs w:val="22"/>
        </w:rPr>
        <w:t xml:space="preserve">Table 6 shows the top 5 wards with the highest number of recorded </w:t>
      </w:r>
      <w:r w:rsidRPr="00FF53CD">
        <w:rPr>
          <w:sz w:val="22"/>
          <w:szCs w:val="22"/>
        </w:rPr>
        <w:t>burglary</w:t>
      </w:r>
      <w:r w:rsidRPr="000223A1">
        <w:rPr>
          <w:sz w:val="22"/>
          <w:szCs w:val="22"/>
        </w:rPr>
        <w:t xml:space="preserve"> crimes</w:t>
      </w:r>
      <w:r w:rsidR="003672A6">
        <w:rPr>
          <w:sz w:val="22"/>
          <w:szCs w:val="22"/>
        </w:rPr>
        <w:t>.</w:t>
      </w:r>
    </w:p>
    <w:p w14:paraId="52EB1A43" w14:textId="77777777" w:rsidR="00DE7F38" w:rsidRDefault="00DE7F38" w:rsidP="00034A2D">
      <w:pPr>
        <w:pStyle w:val="ListParagraph"/>
        <w:ind w:right="421"/>
      </w:pPr>
    </w:p>
    <w:p w14:paraId="420A1025" w14:textId="77777777" w:rsidR="00DE7F38" w:rsidRPr="00DE7F38" w:rsidRDefault="00DE7F38" w:rsidP="00DE7F38">
      <w:pPr>
        <w:pStyle w:val="ListParagraph"/>
        <w:keepNext/>
        <w:ind w:firstLine="0"/>
        <w:jc w:val="left"/>
      </w:pPr>
    </w:p>
    <w:p w14:paraId="0EB429BE" w14:textId="77777777" w:rsidR="00DE7F38" w:rsidRDefault="00DE7F38" w:rsidP="00DE7F38">
      <w:pPr>
        <w:pStyle w:val="ListParagraph"/>
      </w:pPr>
    </w:p>
    <w:p w14:paraId="21D92DA5" w14:textId="3CC32DCB" w:rsidR="006D7A52" w:rsidRPr="00AC7BD8" w:rsidRDefault="006D7A52" w:rsidP="00DE7F38">
      <w:pPr>
        <w:pStyle w:val="ListParagraph"/>
        <w:keepNext/>
        <w:ind w:firstLine="0"/>
        <w:jc w:val="left"/>
        <w:rPr>
          <w:sz w:val="22"/>
          <w:szCs w:val="22"/>
        </w:rPr>
      </w:pPr>
      <w:r w:rsidRPr="00AC7BD8">
        <w:rPr>
          <w:sz w:val="22"/>
          <w:szCs w:val="22"/>
        </w:rPr>
        <w:lastRenderedPageBreak/>
        <w:t xml:space="preserve">Table </w:t>
      </w:r>
      <w:r w:rsidRPr="00AC7BD8">
        <w:rPr>
          <w:sz w:val="22"/>
          <w:szCs w:val="22"/>
        </w:rPr>
        <w:fldChar w:fldCharType="begin"/>
      </w:r>
      <w:r w:rsidRPr="00AC7BD8">
        <w:rPr>
          <w:sz w:val="22"/>
          <w:szCs w:val="22"/>
        </w:rPr>
        <w:instrText xml:space="preserve"> SEQ Table \* ARABIC </w:instrText>
      </w:r>
      <w:r w:rsidRPr="00AC7BD8">
        <w:rPr>
          <w:sz w:val="22"/>
          <w:szCs w:val="22"/>
        </w:rPr>
        <w:fldChar w:fldCharType="separate"/>
      </w:r>
      <w:r w:rsidR="00E94700" w:rsidRPr="00AC7BD8">
        <w:rPr>
          <w:noProof/>
          <w:sz w:val="22"/>
          <w:szCs w:val="22"/>
        </w:rPr>
        <w:t>6</w:t>
      </w:r>
      <w:r w:rsidRPr="00AC7BD8">
        <w:rPr>
          <w:sz w:val="22"/>
          <w:szCs w:val="22"/>
        </w:rPr>
        <w:fldChar w:fldCharType="end"/>
      </w:r>
    </w:p>
    <w:tbl>
      <w:tblPr>
        <w:tblStyle w:val="TableGrid"/>
        <w:tblW w:w="7025"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548"/>
        <w:gridCol w:w="2477"/>
      </w:tblGrid>
      <w:tr w:rsidR="00C65300" w:rsidRPr="008112A9" w14:paraId="71DB9A2C" w14:textId="77777777" w:rsidTr="007709F9">
        <w:trPr>
          <w:trHeight w:hRule="exact" w:val="284"/>
          <w:jc w:val="center"/>
        </w:trPr>
        <w:tc>
          <w:tcPr>
            <w:tcW w:w="4548" w:type="dxa"/>
          </w:tcPr>
          <w:p w14:paraId="265B9B36" w14:textId="77777777" w:rsidR="00C65300" w:rsidRPr="008112A9" w:rsidRDefault="00C65300" w:rsidP="00D13C50">
            <w:pPr>
              <w:ind w:left="0" w:firstLine="0"/>
              <w:rPr>
                <w:sz w:val="22"/>
                <w:szCs w:val="22"/>
              </w:rPr>
            </w:pPr>
          </w:p>
        </w:tc>
        <w:tc>
          <w:tcPr>
            <w:tcW w:w="0" w:type="auto"/>
          </w:tcPr>
          <w:p w14:paraId="235E4075" w14:textId="34C54809" w:rsidR="00C65300" w:rsidRPr="008112A9" w:rsidRDefault="006B42C6" w:rsidP="00D13C50">
            <w:pPr>
              <w:ind w:left="-10" w:firstLine="10"/>
              <w:jc w:val="center"/>
              <w:rPr>
                <w:b/>
                <w:sz w:val="22"/>
                <w:szCs w:val="22"/>
              </w:rPr>
            </w:pPr>
            <w:r>
              <w:rPr>
                <w:b/>
                <w:sz w:val="22"/>
                <w:szCs w:val="22"/>
              </w:rPr>
              <w:t>Count:</w:t>
            </w:r>
            <w:r w:rsidR="001E2932">
              <w:rPr>
                <w:b/>
                <w:sz w:val="22"/>
                <w:szCs w:val="22"/>
              </w:rPr>
              <w:t xml:space="preserve"> </w:t>
            </w:r>
            <w:r>
              <w:rPr>
                <w:b/>
                <w:sz w:val="22"/>
                <w:szCs w:val="22"/>
              </w:rPr>
              <w:t>Burglary</w:t>
            </w:r>
          </w:p>
        </w:tc>
      </w:tr>
      <w:tr w:rsidR="006B42C6" w:rsidRPr="008112A9" w14:paraId="2D58E117" w14:textId="77777777" w:rsidTr="003672A6">
        <w:trPr>
          <w:trHeight w:hRule="exact" w:val="284"/>
          <w:jc w:val="center"/>
        </w:trPr>
        <w:tc>
          <w:tcPr>
            <w:tcW w:w="4548" w:type="dxa"/>
            <w:vAlign w:val="center"/>
          </w:tcPr>
          <w:p w14:paraId="10B689BE" w14:textId="2A5C5014" w:rsidR="006B42C6" w:rsidRPr="008112A9" w:rsidRDefault="006B42C6" w:rsidP="006B42C6">
            <w:pPr>
              <w:tabs>
                <w:tab w:val="center" w:pos="1948"/>
              </w:tabs>
              <w:ind w:left="0" w:firstLine="0"/>
              <w:jc w:val="left"/>
              <w:rPr>
                <w:b/>
                <w:sz w:val="22"/>
                <w:szCs w:val="22"/>
              </w:rPr>
            </w:pPr>
            <w:r>
              <w:rPr>
                <w:b/>
                <w:sz w:val="22"/>
                <w:szCs w:val="22"/>
              </w:rPr>
              <w:t>Welcombe</w:t>
            </w:r>
          </w:p>
        </w:tc>
        <w:tc>
          <w:tcPr>
            <w:tcW w:w="0" w:type="auto"/>
          </w:tcPr>
          <w:p w14:paraId="45CEE5F6" w14:textId="0C2C0C19" w:rsidR="006B42C6" w:rsidRPr="00692041" w:rsidRDefault="006B42C6" w:rsidP="006B42C6">
            <w:pPr>
              <w:spacing w:after="0"/>
              <w:ind w:left="0" w:firstLine="0"/>
              <w:jc w:val="center"/>
              <w:rPr>
                <w:rFonts w:cs="Calibri"/>
                <w:sz w:val="22"/>
                <w:szCs w:val="22"/>
                <w:lang w:eastAsia="en-GB"/>
              </w:rPr>
            </w:pPr>
            <w:r w:rsidRPr="00692041">
              <w:rPr>
                <w:sz w:val="22"/>
                <w:szCs w:val="22"/>
              </w:rPr>
              <w:t>46</w:t>
            </w:r>
          </w:p>
        </w:tc>
      </w:tr>
      <w:tr w:rsidR="006B42C6" w:rsidRPr="008112A9" w14:paraId="7748E0A3" w14:textId="77777777" w:rsidTr="003672A6">
        <w:trPr>
          <w:trHeight w:hRule="exact" w:val="284"/>
          <w:jc w:val="center"/>
        </w:trPr>
        <w:tc>
          <w:tcPr>
            <w:tcW w:w="4548" w:type="dxa"/>
            <w:vAlign w:val="center"/>
          </w:tcPr>
          <w:p w14:paraId="0EC748FE" w14:textId="77777777" w:rsidR="006B42C6" w:rsidRPr="008112A9" w:rsidRDefault="006B42C6" w:rsidP="006B42C6">
            <w:pPr>
              <w:ind w:left="0" w:firstLine="0"/>
              <w:jc w:val="left"/>
              <w:rPr>
                <w:b/>
                <w:sz w:val="22"/>
                <w:szCs w:val="22"/>
              </w:rPr>
            </w:pPr>
            <w:r>
              <w:rPr>
                <w:b/>
                <w:sz w:val="22"/>
                <w:szCs w:val="22"/>
              </w:rPr>
              <w:t>Tanworth-in-Arden</w:t>
            </w:r>
          </w:p>
        </w:tc>
        <w:tc>
          <w:tcPr>
            <w:tcW w:w="0" w:type="auto"/>
          </w:tcPr>
          <w:p w14:paraId="0E47E5D5" w14:textId="69BB0722" w:rsidR="006B42C6" w:rsidRPr="00692041" w:rsidRDefault="006B42C6" w:rsidP="006B42C6">
            <w:pPr>
              <w:spacing w:after="0"/>
              <w:ind w:left="0" w:firstLine="0"/>
              <w:jc w:val="center"/>
              <w:rPr>
                <w:rFonts w:cs="Calibri"/>
                <w:sz w:val="22"/>
                <w:szCs w:val="22"/>
                <w:lang w:eastAsia="en-GB"/>
              </w:rPr>
            </w:pPr>
            <w:r w:rsidRPr="00692041">
              <w:rPr>
                <w:sz w:val="22"/>
                <w:szCs w:val="22"/>
              </w:rPr>
              <w:t>37</w:t>
            </w:r>
          </w:p>
        </w:tc>
      </w:tr>
      <w:tr w:rsidR="006B42C6" w:rsidRPr="008112A9" w14:paraId="3B0215F8" w14:textId="77777777" w:rsidTr="003672A6">
        <w:trPr>
          <w:trHeight w:hRule="exact" w:val="284"/>
          <w:jc w:val="center"/>
        </w:trPr>
        <w:tc>
          <w:tcPr>
            <w:tcW w:w="4548" w:type="dxa"/>
            <w:vAlign w:val="center"/>
          </w:tcPr>
          <w:p w14:paraId="689063ED" w14:textId="77777777" w:rsidR="006B42C6" w:rsidRDefault="006B42C6" w:rsidP="006B42C6">
            <w:pPr>
              <w:ind w:left="0" w:firstLine="0"/>
              <w:jc w:val="left"/>
              <w:rPr>
                <w:b/>
                <w:sz w:val="22"/>
                <w:szCs w:val="22"/>
              </w:rPr>
            </w:pPr>
            <w:r>
              <w:rPr>
                <w:b/>
                <w:sz w:val="22"/>
                <w:szCs w:val="22"/>
              </w:rPr>
              <w:t>Alcester Town</w:t>
            </w:r>
          </w:p>
        </w:tc>
        <w:tc>
          <w:tcPr>
            <w:tcW w:w="0" w:type="auto"/>
          </w:tcPr>
          <w:p w14:paraId="06566234" w14:textId="7109131A" w:rsidR="006B42C6" w:rsidRPr="00692041" w:rsidRDefault="006B42C6" w:rsidP="006B42C6">
            <w:pPr>
              <w:spacing w:after="0"/>
              <w:ind w:left="0" w:firstLine="0"/>
              <w:jc w:val="center"/>
              <w:rPr>
                <w:rFonts w:cs="Calibri"/>
                <w:sz w:val="22"/>
                <w:szCs w:val="22"/>
              </w:rPr>
            </w:pPr>
            <w:r w:rsidRPr="00692041">
              <w:rPr>
                <w:sz w:val="22"/>
                <w:szCs w:val="22"/>
              </w:rPr>
              <w:t>36</w:t>
            </w:r>
          </w:p>
        </w:tc>
      </w:tr>
      <w:tr w:rsidR="006B42C6" w:rsidRPr="008112A9" w14:paraId="0F8C0121" w14:textId="77777777" w:rsidTr="003672A6">
        <w:trPr>
          <w:trHeight w:hRule="exact" w:val="284"/>
          <w:jc w:val="center"/>
        </w:trPr>
        <w:tc>
          <w:tcPr>
            <w:tcW w:w="4548" w:type="dxa"/>
            <w:vAlign w:val="center"/>
          </w:tcPr>
          <w:p w14:paraId="6026E011" w14:textId="200E3E73" w:rsidR="006B42C6" w:rsidRDefault="006B42C6" w:rsidP="006B42C6">
            <w:pPr>
              <w:ind w:left="0" w:firstLine="0"/>
              <w:jc w:val="left"/>
              <w:rPr>
                <w:b/>
                <w:sz w:val="22"/>
                <w:szCs w:val="22"/>
              </w:rPr>
            </w:pPr>
            <w:r>
              <w:rPr>
                <w:b/>
                <w:sz w:val="22"/>
                <w:szCs w:val="22"/>
              </w:rPr>
              <w:t>Studley with Sambourne</w:t>
            </w:r>
          </w:p>
        </w:tc>
        <w:tc>
          <w:tcPr>
            <w:tcW w:w="0" w:type="auto"/>
          </w:tcPr>
          <w:p w14:paraId="4E6EE675" w14:textId="042EB3C7" w:rsidR="006B42C6" w:rsidRPr="00692041" w:rsidRDefault="006B42C6" w:rsidP="006B42C6">
            <w:pPr>
              <w:spacing w:after="0"/>
              <w:ind w:left="0" w:firstLine="0"/>
              <w:jc w:val="center"/>
              <w:rPr>
                <w:sz w:val="22"/>
                <w:szCs w:val="22"/>
              </w:rPr>
            </w:pPr>
            <w:r w:rsidRPr="00692041">
              <w:rPr>
                <w:sz w:val="22"/>
                <w:szCs w:val="22"/>
              </w:rPr>
              <w:t>31</w:t>
            </w:r>
          </w:p>
        </w:tc>
      </w:tr>
      <w:tr w:rsidR="006B42C6" w:rsidRPr="008112A9" w14:paraId="5D87411C" w14:textId="77777777" w:rsidTr="003672A6">
        <w:trPr>
          <w:trHeight w:hRule="exact" w:val="284"/>
          <w:jc w:val="center"/>
        </w:trPr>
        <w:tc>
          <w:tcPr>
            <w:tcW w:w="4548" w:type="dxa"/>
            <w:vAlign w:val="center"/>
          </w:tcPr>
          <w:p w14:paraId="0F0A28DA" w14:textId="4533F397" w:rsidR="006B42C6" w:rsidRDefault="006B42C6" w:rsidP="006B42C6">
            <w:pPr>
              <w:ind w:left="0" w:firstLine="0"/>
              <w:jc w:val="left"/>
              <w:rPr>
                <w:b/>
                <w:sz w:val="22"/>
                <w:szCs w:val="22"/>
              </w:rPr>
            </w:pPr>
            <w:r>
              <w:rPr>
                <w:b/>
                <w:sz w:val="22"/>
                <w:szCs w:val="22"/>
              </w:rPr>
              <w:t>Alcester &amp; Rural</w:t>
            </w:r>
          </w:p>
        </w:tc>
        <w:tc>
          <w:tcPr>
            <w:tcW w:w="0" w:type="auto"/>
          </w:tcPr>
          <w:p w14:paraId="13CDE999" w14:textId="0EB378FE" w:rsidR="006B42C6" w:rsidRPr="00692041" w:rsidRDefault="006B42C6" w:rsidP="006B42C6">
            <w:pPr>
              <w:spacing w:after="0"/>
              <w:ind w:left="0" w:firstLine="0"/>
              <w:jc w:val="center"/>
              <w:rPr>
                <w:sz w:val="22"/>
                <w:szCs w:val="22"/>
              </w:rPr>
            </w:pPr>
            <w:r w:rsidRPr="00692041">
              <w:rPr>
                <w:sz w:val="22"/>
                <w:szCs w:val="22"/>
              </w:rPr>
              <w:t>29</w:t>
            </w:r>
          </w:p>
        </w:tc>
      </w:tr>
    </w:tbl>
    <w:p w14:paraId="09A8A8AD" w14:textId="77777777" w:rsidR="00C65300" w:rsidRPr="000C2EB7" w:rsidRDefault="00C65300" w:rsidP="00A97E91">
      <w:pPr>
        <w:pStyle w:val="ListParagraph"/>
        <w:jc w:val="left"/>
        <w:rPr>
          <w:color w:val="FF0000"/>
          <w:sz w:val="22"/>
          <w:szCs w:val="22"/>
        </w:rPr>
      </w:pPr>
    </w:p>
    <w:p w14:paraId="762D1D60" w14:textId="47612C85" w:rsidR="000223A1" w:rsidRPr="00610EF3" w:rsidRDefault="003375D9" w:rsidP="00610EF3">
      <w:pPr>
        <w:pStyle w:val="ListParagraph"/>
        <w:numPr>
          <w:ilvl w:val="3"/>
          <w:numId w:val="20"/>
        </w:numPr>
        <w:ind w:left="709" w:right="420" w:hanging="709"/>
        <w:contextualSpacing w:val="0"/>
        <w:jc w:val="left"/>
        <w:rPr>
          <w:sz w:val="22"/>
          <w:szCs w:val="22"/>
        </w:rPr>
      </w:pPr>
      <w:r w:rsidRPr="00F40A7E">
        <w:rPr>
          <w:sz w:val="22"/>
          <w:szCs w:val="22"/>
        </w:rPr>
        <w:t xml:space="preserve">Welcombe ward also had the highest </w:t>
      </w:r>
      <w:r w:rsidRPr="00B337AA">
        <w:rPr>
          <w:sz w:val="22"/>
          <w:szCs w:val="22"/>
        </w:rPr>
        <w:t>rate</w:t>
      </w:r>
      <w:r w:rsidRPr="00F40A7E">
        <w:rPr>
          <w:sz w:val="22"/>
          <w:szCs w:val="22"/>
        </w:rPr>
        <w:t xml:space="preserve"> of burglary crime at 2.48 per 1,000. </w:t>
      </w:r>
      <w:r w:rsidR="005A4585" w:rsidRPr="00F40A7E">
        <w:rPr>
          <w:sz w:val="22"/>
          <w:szCs w:val="22"/>
        </w:rPr>
        <w:t>Alcester &amp; Rural and Tiddington were second and third respectively with 1.23/1.22 per 1,000.</w:t>
      </w:r>
    </w:p>
    <w:p w14:paraId="4A0214E1" w14:textId="35102DDA" w:rsidR="005D42AB" w:rsidRDefault="00692041" w:rsidP="00610EF3">
      <w:pPr>
        <w:pStyle w:val="ListParagraph"/>
        <w:numPr>
          <w:ilvl w:val="3"/>
          <w:numId w:val="20"/>
        </w:numPr>
        <w:ind w:left="709" w:right="420" w:hanging="709"/>
        <w:contextualSpacing w:val="0"/>
        <w:jc w:val="left"/>
        <w:rPr>
          <w:sz w:val="22"/>
          <w:szCs w:val="22"/>
        </w:rPr>
      </w:pPr>
      <w:r>
        <w:rPr>
          <w:sz w:val="22"/>
          <w:szCs w:val="22"/>
        </w:rPr>
        <w:t>T</w:t>
      </w:r>
      <w:r w:rsidR="005D42AB" w:rsidRPr="000223A1">
        <w:rPr>
          <w:sz w:val="22"/>
          <w:szCs w:val="22"/>
        </w:rPr>
        <w:t>able 7 shows the top 5 wards with the highest number of incidents of anti-social behaviour (ASB).</w:t>
      </w:r>
    </w:p>
    <w:p w14:paraId="77F87EDF" w14:textId="3147D313" w:rsidR="005D42AB" w:rsidRPr="00AC7BD8" w:rsidRDefault="005D42AB" w:rsidP="00AC7BD8">
      <w:pPr>
        <w:pStyle w:val="Caption"/>
        <w:keepNext/>
        <w:ind w:hanging="11"/>
        <w:rPr>
          <w:i w:val="0"/>
          <w:iCs w:val="0"/>
          <w:color w:val="auto"/>
          <w:sz w:val="22"/>
          <w:szCs w:val="22"/>
        </w:rPr>
      </w:pPr>
      <w:r w:rsidRPr="00AC7BD8">
        <w:rPr>
          <w:i w:val="0"/>
          <w:iCs w:val="0"/>
          <w:color w:val="auto"/>
          <w:sz w:val="22"/>
          <w:szCs w:val="22"/>
        </w:rPr>
        <w:t xml:space="preserve">Table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Table \* ARABIC </w:instrText>
      </w:r>
      <w:r w:rsidR="00F61229" w:rsidRPr="00AC7BD8">
        <w:rPr>
          <w:i w:val="0"/>
          <w:iCs w:val="0"/>
          <w:color w:val="auto"/>
          <w:sz w:val="22"/>
          <w:szCs w:val="22"/>
        </w:rPr>
        <w:fldChar w:fldCharType="separate"/>
      </w:r>
      <w:r w:rsidR="00E94700" w:rsidRPr="00AC7BD8">
        <w:rPr>
          <w:i w:val="0"/>
          <w:iCs w:val="0"/>
          <w:noProof/>
          <w:color w:val="auto"/>
          <w:sz w:val="22"/>
          <w:szCs w:val="22"/>
        </w:rPr>
        <w:t>7</w:t>
      </w:r>
      <w:r w:rsidR="00F61229" w:rsidRPr="00AC7BD8">
        <w:rPr>
          <w:i w:val="0"/>
          <w:iCs w:val="0"/>
          <w:noProof/>
          <w:color w:val="auto"/>
          <w:sz w:val="22"/>
          <w:szCs w:val="22"/>
        </w:rPr>
        <w:fldChar w:fldCharType="end"/>
      </w:r>
    </w:p>
    <w:tbl>
      <w:tblPr>
        <w:tblStyle w:val="TableGrid"/>
        <w:tblW w:w="694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401"/>
        <w:gridCol w:w="2540"/>
      </w:tblGrid>
      <w:tr w:rsidR="005D42AB" w:rsidRPr="008112A9" w14:paraId="4DC35080" w14:textId="77777777" w:rsidTr="007709F9">
        <w:trPr>
          <w:trHeight w:hRule="exact" w:val="284"/>
          <w:jc w:val="center"/>
        </w:trPr>
        <w:tc>
          <w:tcPr>
            <w:tcW w:w="4401" w:type="dxa"/>
          </w:tcPr>
          <w:p w14:paraId="72006E45" w14:textId="77777777" w:rsidR="005D42AB" w:rsidRPr="008112A9" w:rsidRDefault="005D42AB" w:rsidP="00D13C50">
            <w:pPr>
              <w:ind w:left="0" w:firstLine="0"/>
              <w:rPr>
                <w:sz w:val="22"/>
                <w:szCs w:val="22"/>
              </w:rPr>
            </w:pPr>
          </w:p>
        </w:tc>
        <w:tc>
          <w:tcPr>
            <w:tcW w:w="2540" w:type="dxa"/>
          </w:tcPr>
          <w:p w14:paraId="159344CE" w14:textId="0F695139" w:rsidR="005D42AB" w:rsidRPr="008112A9" w:rsidRDefault="005D42AB" w:rsidP="00D13C50">
            <w:pPr>
              <w:ind w:left="-10" w:firstLine="10"/>
              <w:jc w:val="center"/>
              <w:rPr>
                <w:b/>
                <w:sz w:val="22"/>
                <w:szCs w:val="22"/>
              </w:rPr>
            </w:pPr>
            <w:r>
              <w:rPr>
                <w:b/>
                <w:sz w:val="22"/>
                <w:szCs w:val="22"/>
              </w:rPr>
              <w:t>Count:</w:t>
            </w:r>
            <w:r w:rsidR="001E2932">
              <w:rPr>
                <w:b/>
                <w:sz w:val="22"/>
                <w:szCs w:val="22"/>
              </w:rPr>
              <w:t xml:space="preserve"> </w:t>
            </w:r>
            <w:r>
              <w:rPr>
                <w:b/>
                <w:sz w:val="22"/>
                <w:szCs w:val="22"/>
              </w:rPr>
              <w:t>ASB</w:t>
            </w:r>
          </w:p>
        </w:tc>
      </w:tr>
      <w:tr w:rsidR="005D42AB" w:rsidRPr="008112A9" w14:paraId="5E66B6BD" w14:textId="77777777" w:rsidTr="00B337AA">
        <w:trPr>
          <w:trHeight w:hRule="exact" w:val="284"/>
          <w:jc w:val="center"/>
        </w:trPr>
        <w:tc>
          <w:tcPr>
            <w:tcW w:w="4401" w:type="dxa"/>
            <w:vAlign w:val="center"/>
          </w:tcPr>
          <w:p w14:paraId="58F42B25" w14:textId="77777777" w:rsidR="005D42AB" w:rsidRPr="008112A9" w:rsidRDefault="005D42AB" w:rsidP="00D13C50">
            <w:pPr>
              <w:tabs>
                <w:tab w:val="center" w:pos="1948"/>
              </w:tabs>
              <w:ind w:left="0" w:firstLine="0"/>
              <w:jc w:val="left"/>
              <w:rPr>
                <w:b/>
                <w:sz w:val="22"/>
                <w:szCs w:val="22"/>
              </w:rPr>
            </w:pPr>
            <w:r>
              <w:rPr>
                <w:b/>
                <w:sz w:val="22"/>
                <w:szCs w:val="22"/>
              </w:rPr>
              <w:t>Welcombe</w:t>
            </w:r>
          </w:p>
        </w:tc>
        <w:tc>
          <w:tcPr>
            <w:tcW w:w="2540" w:type="dxa"/>
          </w:tcPr>
          <w:p w14:paraId="2A2812D1" w14:textId="77777777" w:rsidR="005D42AB" w:rsidRPr="00692041" w:rsidRDefault="005D42AB" w:rsidP="00D13C50">
            <w:pPr>
              <w:spacing w:after="0"/>
              <w:ind w:left="0" w:firstLine="0"/>
              <w:jc w:val="center"/>
              <w:rPr>
                <w:rFonts w:cs="Calibri"/>
                <w:sz w:val="22"/>
                <w:szCs w:val="22"/>
                <w:lang w:eastAsia="en-GB"/>
              </w:rPr>
            </w:pPr>
            <w:r w:rsidRPr="00692041">
              <w:rPr>
                <w:sz w:val="22"/>
                <w:szCs w:val="22"/>
              </w:rPr>
              <w:t>127</w:t>
            </w:r>
          </w:p>
        </w:tc>
      </w:tr>
      <w:tr w:rsidR="005D42AB" w:rsidRPr="008112A9" w14:paraId="179BFB11" w14:textId="77777777" w:rsidTr="00B337AA">
        <w:trPr>
          <w:trHeight w:hRule="exact" w:val="284"/>
          <w:jc w:val="center"/>
        </w:trPr>
        <w:tc>
          <w:tcPr>
            <w:tcW w:w="4401" w:type="dxa"/>
            <w:vAlign w:val="center"/>
          </w:tcPr>
          <w:p w14:paraId="257D5032" w14:textId="77777777" w:rsidR="005D42AB" w:rsidRPr="008112A9" w:rsidRDefault="005D42AB" w:rsidP="00D13C50">
            <w:pPr>
              <w:ind w:left="0" w:firstLine="0"/>
              <w:jc w:val="left"/>
              <w:rPr>
                <w:b/>
                <w:sz w:val="22"/>
                <w:szCs w:val="22"/>
              </w:rPr>
            </w:pPr>
            <w:r>
              <w:rPr>
                <w:b/>
                <w:sz w:val="22"/>
                <w:szCs w:val="22"/>
              </w:rPr>
              <w:t>Avenue</w:t>
            </w:r>
          </w:p>
        </w:tc>
        <w:tc>
          <w:tcPr>
            <w:tcW w:w="2540" w:type="dxa"/>
          </w:tcPr>
          <w:p w14:paraId="537A5858" w14:textId="77777777" w:rsidR="005D42AB" w:rsidRPr="00692041" w:rsidRDefault="005D42AB" w:rsidP="00D13C50">
            <w:pPr>
              <w:spacing w:after="0"/>
              <w:ind w:left="0" w:firstLine="0"/>
              <w:jc w:val="center"/>
              <w:rPr>
                <w:rFonts w:cs="Calibri"/>
                <w:sz w:val="22"/>
                <w:szCs w:val="22"/>
                <w:lang w:eastAsia="en-GB"/>
              </w:rPr>
            </w:pPr>
            <w:r w:rsidRPr="00692041">
              <w:rPr>
                <w:sz w:val="22"/>
                <w:szCs w:val="22"/>
              </w:rPr>
              <w:t>124</w:t>
            </w:r>
          </w:p>
        </w:tc>
      </w:tr>
      <w:tr w:rsidR="005D42AB" w:rsidRPr="008112A9" w14:paraId="366BCA65" w14:textId="77777777" w:rsidTr="00B337AA">
        <w:trPr>
          <w:trHeight w:hRule="exact" w:val="284"/>
          <w:jc w:val="center"/>
        </w:trPr>
        <w:tc>
          <w:tcPr>
            <w:tcW w:w="4401" w:type="dxa"/>
            <w:vAlign w:val="center"/>
          </w:tcPr>
          <w:p w14:paraId="55FB7F82" w14:textId="77777777" w:rsidR="005D42AB" w:rsidRDefault="005D42AB" w:rsidP="00D13C50">
            <w:pPr>
              <w:ind w:left="0" w:firstLine="0"/>
              <w:jc w:val="left"/>
              <w:rPr>
                <w:b/>
                <w:sz w:val="22"/>
                <w:szCs w:val="22"/>
              </w:rPr>
            </w:pPr>
            <w:r>
              <w:rPr>
                <w:b/>
                <w:sz w:val="22"/>
                <w:szCs w:val="22"/>
              </w:rPr>
              <w:t>Guildhall</w:t>
            </w:r>
          </w:p>
        </w:tc>
        <w:tc>
          <w:tcPr>
            <w:tcW w:w="2540" w:type="dxa"/>
          </w:tcPr>
          <w:p w14:paraId="2C57913E" w14:textId="77777777" w:rsidR="005D42AB" w:rsidRPr="00692041" w:rsidRDefault="005D42AB" w:rsidP="00D13C50">
            <w:pPr>
              <w:spacing w:after="0"/>
              <w:ind w:left="0" w:firstLine="0"/>
              <w:jc w:val="center"/>
              <w:rPr>
                <w:rFonts w:cs="Calibri"/>
                <w:sz w:val="22"/>
                <w:szCs w:val="22"/>
              </w:rPr>
            </w:pPr>
            <w:r w:rsidRPr="00692041">
              <w:rPr>
                <w:sz w:val="22"/>
                <w:szCs w:val="22"/>
              </w:rPr>
              <w:t>105</w:t>
            </w:r>
          </w:p>
        </w:tc>
      </w:tr>
      <w:tr w:rsidR="005D42AB" w:rsidRPr="008112A9" w14:paraId="5AC6D78F" w14:textId="77777777" w:rsidTr="00B337AA">
        <w:trPr>
          <w:trHeight w:hRule="exact" w:val="284"/>
          <w:jc w:val="center"/>
        </w:trPr>
        <w:tc>
          <w:tcPr>
            <w:tcW w:w="4401" w:type="dxa"/>
          </w:tcPr>
          <w:p w14:paraId="60405A7C" w14:textId="77777777" w:rsidR="005D42AB" w:rsidRDefault="005D42AB" w:rsidP="00D13C50">
            <w:pPr>
              <w:ind w:left="0" w:firstLine="0"/>
              <w:jc w:val="left"/>
              <w:rPr>
                <w:b/>
                <w:sz w:val="22"/>
                <w:szCs w:val="22"/>
              </w:rPr>
            </w:pPr>
            <w:r w:rsidRPr="007139D5">
              <w:rPr>
                <w:b/>
                <w:sz w:val="22"/>
                <w:szCs w:val="22"/>
              </w:rPr>
              <w:t>Tanworth-in-Arden</w:t>
            </w:r>
          </w:p>
        </w:tc>
        <w:tc>
          <w:tcPr>
            <w:tcW w:w="2540" w:type="dxa"/>
          </w:tcPr>
          <w:p w14:paraId="1FDC2010" w14:textId="77777777" w:rsidR="005D42AB" w:rsidRPr="00692041" w:rsidRDefault="005D42AB" w:rsidP="00D13C50">
            <w:pPr>
              <w:spacing w:after="0"/>
              <w:ind w:left="0" w:firstLine="0"/>
              <w:jc w:val="center"/>
              <w:rPr>
                <w:sz w:val="22"/>
                <w:szCs w:val="22"/>
              </w:rPr>
            </w:pPr>
            <w:r w:rsidRPr="00692041">
              <w:rPr>
                <w:sz w:val="22"/>
                <w:szCs w:val="22"/>
              </w:rPr>
              <w:t>84</w:t>
            </w:r>
          </w:p>
        </w:tc>
      </w:tr>
      <w:tr w:rsidR="005D42AB" w:rsidRPr="008112A9" w14:paraId="413D3BF7" w14:textId="77777777" w:rsidTr="00B337AA">
        <w:trPr>
          <w:trHeight w:hRule="exact" w:val="284"/>
          <w:jc w:val="center"/>
        </w:trPr>
        <w:tc>
          <w:tcPr>
            <w:tcW w:w="4401" w:type="dxa"/>
            <w:vAlign w:val="center"/>
          </w:tcPr>
          <w:p w14:paraId="1948694F" w14:textId="77777777" w:rsidR="005D42AB" w:rsidRDefault="005D42AB" w:rsidP="00D13C50">
            <w:pPr>
              <w:ind w:left="0" w:firstLine="0"/>
              <w:jc w:val="left"/>
              <w:rPr>
                <w:b/>
                <w:sz w:val="22"/>
                <w:szCs w:val="22"/>
              </w:rPr>
            </w:pPr>
            <w:r>
              <w:rPr>
                <w:b/>
                <w:sz w:val="22"/>
                <w:szCs w:val="22"/>
              </w:rPr>
              <w:t>Hathaway</w:t>
            </w:r>
          </w:p>
        </w:tc>
        <w:tc>
          <w:tcPr>
            <w:tcW w:w="2540" w:type="dxa"/>
          </w:tcPr>
          <w:p w14:paraId="09FCC5CF" w14:textId="77777777" w:rsidR="005D42AB" w:rsidRPr="00692041" w:rsidRDefault="005D42AB" w:rsidP="00D13C50">
            <w:pPr>
              <w:spacing w:after="0"/>
              <w:ind w:left="0" w:firstLine="0"/>
              <w:jc w:val="center"/>
              <w:rPr>
                <w:sz w:val="22"/>
                <w:szCs w:val="22"/>
              </w:rPr>
            </w:pPr>
            <w:r w:rsidRPr="00692041">
              <w:rPr>
                <w:sz w:val="22"/>
                <w:szCs w:val="22"/>
              </w:rPr>
              <w:t>71</w:t>
            </w:r>
          </w:p>
        </w:tc>
      </w:tr>
    </w:tbl>
    <w:p w14:paraId="241B0678" w14:textId="77777777" w:rsidR="005D42AB" w:rsidRPr="005D42AB" w:rsidRDefault="005D42AB" w:rsidP="00B337AA">
      <w:pPr>
        <w:pStyle w:val="NoSpacing"/>
      </w:pPr>
    </w:p>
    <w:p w14:paraId="64DAE541" w14:textId="3F42E9F3" w:rsidR="00F40A7E" w:rsidRPr="00610EF3" w:rsidRDefault="005D42AB" w:rsidP="00610EF3">
      <w:pPr>
        <w:pStyle w:val="ListParagraph"/>
        <w:numPr>
          <w:ilvl w:val="3"/>
          <w:numId w:val="20"/>
        </w:numPr>
        <w:ind w:left="709" w:right="421" w:hanging="709"/>
        <w:contextualSpacing w:val="0"/>
        <w:jc w:val="left"/>
        <w:rPr>
          <w:color w:val="FF0000"/>
          <w:sz w:val="22"/>
          <w:szCs w:val="22"/>
        </w:rPr>
      </w:pPr>
      <w:r w:rsidRPr="00B02C44">
        <w:rPr>
          <w:sz w:val="22"/>
          <w:szCs w:val="22"/>
        </w:rPr>
        <w:t xml:space="preserve">Welcombe also had the highest rate of ASB at </w:t>
      </w:r>
      <w:r w:rsidR="00B02C44" w:rsidRPr="00B02C44">
        <w:rPr>
          <w:sz w:val="22"/>
          <w:szCs w:val="22"/>
        </w:rPr>
        <w:t>3.3 incidents per 1,000, with Hathaway second with 2.69 per 1,000.</w:t>
      </w:r>
    </w:p>
    <w:p w14:paraId="35DAC463" w14:textId="742CC491" w:rsidR="00655EF7" w:rsidRPr="00610EF3" w:rsidRDefault="00570586" w:rsidP="00610EF3">
      <w:pPr>
        <w:pStyle w:val="ListParagraph"/>
        <w:numPr>
          <w:ilvl w:val="0"/>
          <w:numId w:val="20"/>
        </w:numPr>
        <w:ind w:left="709" w:right="421" w:hanging="709"/>
        <w:contextualSpacing w:val="0"/>
        <w:jc w:val="left"/>
        <w:rPr>
          <w:rFonts w:eastAsia="Calibri"/>
          <w:b/>
          <w:sz w:val="22"/>
          <w:szCs w:val="22"/>
          <w:lang w:eastAsia="en-GB"/>
        </w:rPr>
      </w:pPr>
      <w:r w:rsidRPr="0087034D">
        <w:rPr>
          <w:rFonts w:eastAsia="Calibri"/>
          <w:b/>
          <w:sz w:val="22"/>
          <w:szCs w:val="22"/>
          <w:lang w:eastAsia="en-GB"/>
        </w:rPr>
        <w:t>Employment</w:t>
      </w:r>
      <w:r w:rsidR="004E4314" w:rsidRPr="0087034D">
        <w:rPr>
          <w:rFonts w:eastAsia="Calibri"/>
          <w:b/>
          <w:sz w:val="22"/>
          <w:szCs w:val="22"/>
          <w:lang w:eastAsia="en-GB"/>
        </w:rPr>
        <w:t xml:space="preserve"> </w:t>
      </w:r>
      <w:r w:rsidR="00B6121B" w:rsidRPr="0087034D">
        <w:rPr>
          <w:rFonts w:eastAsia="Calibri"/>
          <w:b/>
          <w:sz w:val="22"/>
          <w:szCs w:val="22"/>
          <w:lang w:eastAsia="en-GB"/>
        </w:rPr>
        <w:t>and Qualification</w:t>
      </w:r>
      <w:r w:rsidR="00610EF3">
        <w:rPr>
          <w:rFonts w:eastAsia="Calibri"/>
          <w:b/>
          <w:sz w:val="22"/>
          <w:szCs w:val="22"/>
          <w:lang w:eastAsia="en-GB"/>
        </w:rPr>
        <w:t>s</w:t>
      </w:r>
    </w:p>
    <w:p w14:paraId="151CC4FF" w14:textId="16F852CC" w:rsidR="00B6121B" w:rsidRPr="00E55171" w:rsidRDefault="00B6121B" w:rsidP="00610EF3">
      <w:pPr>
        <w:pStyle w:val="ListParagraph"/>
        <w:numPr>
          <w:ilvl w:val="1"/>
          <w:numId w:val="20"/>
        </w:numPr>
        <w:ind w:left="709" w:right="421" w:hanging="709"/>
        <w:contextualSpacing w:val="0"/>
        <w:jc w:val="left"/>
        <w:rPr>
          <w:b/>
          <w:i/>
          <w:iCs/>
          <w:sz w:val="22"/>
          <w:szCs w:val="22"/>
        </w:rPr>
      </w:pPr>
      <w:r w:rsidRPr="00E55171">
        <w:rPr>
          <w:b/>
          <w:i/>
          <w:iCs/>
          <w:sz w:val="22"/>
          <w:szCs w:val="22"/>
        </w:rPr>
        <w:t>Employment</w:t>
      </w:r>
    </w:p>
    <w:p w14:paraId="4A24B1B9" w14:textId="42645690" w:rsidR="000223A1" w:rsidRPr="00610EF3" w:rsidRDefault="00FB2715" w:rsidP="00610EF3">
      <w:pPr>
        <w:pStyle w:val="ListParagraph"/>
        <w:numPr>
          <w:ilvl w:val="3"/>
          <w:numId w:val="20"/>
        </w:numPr>
        <w:ind w:left="709" w:right="421" w:hanging="709"/>
        <w:contextualSpacing w:val="0"/>
        <w:jc w:val="left"/>
        <w:rPr>
          <w:sz w:val="22"/>
          <w:szCs w:val="22"/>
        </w:rPr>
      </w:pPr>
      <w:r w:rsidRPr="00C16052">
        <w:rPr>
          <w:sz w:val="22"/>
          <w:szCs w:val="22"/>
        </w:rPr>
        <w:t>In March 202</w:t>
      </w:r>
      <w:r w:rsidR="00C16052" w:rsidRPr="00C16052">
        <w:rPr>
          <w:sz w:val="22"/>
          <w:szCs w:val="22"/>
        </w:rPr>
        <w:t>2</w:t>
      </w:r>
      <w:r w:rsidR="00367263" w:rsidRPr="00C16052">
        <w:rPr>
          <w:sz w:val="22"/>
          <w:szCs w:val="22"/>
        </w:rPr>
        <w:t>,</w:t>
      </w:r>
      <w:r w:rsidR="004E4314" w:rsidRPr="00C16052">
        <w:rPr>
          <w:sz w:val="22"/>
          <w:szCs w:val="22"/>
        </w:rPr>
        <w:t xml:space="preserve"> </w:t>
      </w:r>
      <w:r w:rsidR="00D82083" w:rsidRPr="00C16052">
        <w:rPr>
          <w:sz w:val="22"/>
          <w:szCs w:val="22"/>
        </w:rPr>
        <w:t xml:space="preserve">there were approximately </w:t>
      </w:r>
      <w:r w:rsidR="00B9697E" w:rsidRPr="00C16052">
        <w:rPr>
          <w:sz w:val="22"/>
          <w:szCs w:val="22"/>
        </w:rPr>
        <w:t>80,100</w:t>
      </w:r>
      <w:r w:rsidR="00D82083" w:rsidRPr="00C16052">
        <w:rPr>
          <w:sz w:val="22"/>
          <w:szCs w:val="22"/>
        </w:rPr>
        <w:t xml:space="preserve"> </w:t>
      </w:r>
      <w:r w:rsidR="00D20C64" w:rsidRPr="00C16052">
        <w:rPr>
          <w:sz w:val="22"/>
          <w:szCs w:val="22"/>
        </w:rPr>
        <w:t xml:space="preserve">people </w:t>
      </w:r>
      <w:r w:rsidR="004E4314" w:rsidRPr="0087034D">
        <w:rPr>
          <w:sz w:val="22"/>
          <w:szCs w:val="22"/>
        </w:rPr>
        <w:t>aged between 1</w:t>
      </w:r>
      <w:r w:rsidR="00D20C64" w:rsidRPr="0087034D">
        <w:rPr>
          <w:sz w:val="22"/>
          <w:szCs w:val="22"/>
        </w:rPr>
        <w:t>5</w:t>
      </w:r>
      <w:r w:rsidR="004E4314" w:rsidRPr="0087034D">
        <w:rPr>
          <w:sz w:val="22"/>
          <w:szCs w:val="22"/>
        </w:rPr>
        <w:t xml:space="preserve"> and 64 years</w:t>
      </w:r>
      <w:r w:rsidR="004E4314" w:rsidRPr="0087034D">
        <w:rPr>
          <w:rStyle w:val="EndnoteReference"/>
          <w:sz w:val="22"/>
          <w:szCs w:val="22"/>
        </w:rPr>
        <w:endnoteReference w:id="23"/>
      </w:r>
      <w:r w:rsidR="004E4314" w:rsidRPr="0087034D">
        <w:rPr>
          <w:sz w:val="22"/>
          <w:szCs w:val="22"/>
        </w:rPr>
        <w:t xml:space="preserve">. </w:t>
      </w:r>
      <w:r w:rsidRPr="0087034D">
        <w:rPr>
          <w:sz w:val="22"/>
          <w:szCs w:val="22"/>
        </w:rPr>
        <w:t>62,</w:t>
      </w:r>
      <w:r w:rsidR="000D4ED5" w:rsidRPr="0087034D">
        <w:rPr>
          <w:sz w:val="22"/>
          <w:szCs w:val="22"/>
        </w:rPr>
        <w:t>9</w:t>
      </w:r>
      <w:r w:rsidR="00D82083" w:rsidRPr="0087034D">
        <w:rPr>
          <w:sz w:val="22"/>
          <w:szCs w:val="22"/>
        </w:rPr>
        <w:t>00</w:t>
      </w:r>
      <w:r w:rsidR="00103BA3" w:rsidRPr="0087034D">
        <w:rPr>
          <w:sz w:val="22"/>
          <w:szCs w:val="22"/>
        </w:rPr>
        <w:t xml:space="preserve"> </w:t>
      </w:r>
      <w:r w:rsidR="00000C59" w:rsidRPr="0087034D">
        <w:rPr>
          <w:sz w:val="22"/>
          <w:szCs w:val="22"/>
        </w:rPr>
        <w:t>were</w:t>
      </w:r>
      <w:r w:rsidR="00103BA3" w:rsidRPr="0087034D">
        <w:rPr>
          <w:sz w:val="22"/>
          <w:szCs w:val="22"/>
        </w:rPr>
        <w:t xml:space="preserve"> c</w:t>
      </w:r>
      <w:r w:rsidR="00000C59" w:rsidRPr="0087034D">
        <w:rPr>
          <w:sz w:val="22"/>
          <w:szCs w:val="22"/>
        </w:rPr>
        <w:t xml:space="preserve">lassed as ‘economically active’ in Stratford </w:t>
      </w:r>
      <w:r w:rsidR="001D61F1" w:rsidRPr="0087034D">
        <w:rPr>
          <w:sz w:val="22"/>
          <w:szCs w:val="22"/>
        </w:rPr>
        <w:t>District</w:t>
      </w:r>
      <w:r w:rsidR="00A65C2F" w:rsidRPr="0087034D">
        <w:rPr>
          <w:sz w:val="22"/>
          <w:szCs w:val="22"/>
        </w:rPr>
        <w:t xml:space="preserve"> i.e. </w:t>
      </w:r>
      <w:r w:rsidR="0087034D" w:rsidRPr="0087034D">
        <w:rPr>
          <w:sz w:val="22"/>
          <w:szCs w:val="22"/>
        </w:rPr>
        <w:t>in work (employed or self-employed) or claiming unemployment benefit</w:t>
      </w:r>
      <w:r w:rsidR="00000C59" w:rsidRPr="0087034D">
        <w:rPr>
          <w:sz w:val="22"/>
          <w:szCs w:val="22"/>
        </w:rPr>
        <w:t>.</w:t>
      </w:r>
    </w:p>
    <w:p w14:paraId="4627DB95" w14:textId="529F1E0C" w:rsidR="000223A1" w:rsidRPr="00610EF3" w:rsidRDefault="0029400C" w:rsidP="00610EF3">
      <w:pPr>
        <w:pStyle w:val="ListParagraph"/>
        <w:numPr>
          <w:ilvl w:val="3"/>
          <w:numId w:val="20"/>
        </w:numPr>
        <w:ind w:left="709" w:right="421" w:hanging="709"/>
        <w:contextualSpacing w:val="0"/>
        <w:jc w:val="left"/>
        <w:rPr>
          <w:sz w:val="22"/>
          <w:szCs w:val="22"/>
        </w:rPr>
      </w:pPr>
      <w:r w:rsidRPr="000223A1">
        <w:rPr>
          <w:sz w:val="22"/>
          <w:szCs w:val="22"/>
        </w:rPr>
        <w:t xml:space="preserve">As of March 2022, </w:t>
      </w:r>
      <w:r w:rsidR="00F036CD" w:rsidRPr="000223A1">
        <w:rPr>
          <w:sz w:val="22"/>
          <w:szCs w:val="22"/>
        </w:rPr>
        <w:t>80.3</w:t>
      </w:r>
      <w:r w:rsidR="004E4314" w:rsidRPr="000223A1">
        <w:rPr>
          <w:sz w:val="22"/>
          <w:szCs w:val="22"/>
        </w:rPr>
        <w:t>% of adults were in either full time or part time work</w:t>
      </w:r>
      <w:r w:rsidR="00000C59" w:rsidRPr="000223A1">
        <w:rPr>
          <w:sz w:val="22"/>
          <w:szCs w:val="22"/>
        </w:rPr>
        <w:t xml:space="preserve"> in the </w:t>
      </w:r>
      <w:r w:rsidR="001D61F1" w:rsidRPr="000223A1">
        <w:rPr>
          <w:sz w:val="22"/>
          <w:szCs w:val="22"/>
        </w:rPr>
        <w:t>District</w:t>
      </w:r>
      <w:r w:rsidRPr="007D6151">
        <w:rPr>
          <w:rStyle w:val="EndnoteReference"/>
          <w:sz w:val="22"/>
          <w:szCs w:val="22"/>
        </w:rPr>
        <w:endnoteReference w:id="24"/>
      </w:r>
      <w:r w:rsidR="004E4314" w:rsidRPr="000223A1">
        <w:rPr>
          <w:sz w:val="22"/>
          <w:szCs w:val="22"/>
        </w:rPr>
        <w:t xml:space="preserve">. This rate is higher than </w:t>
      </w:r>
      <w:r w:rsidR="00FB2715" w:rsidRPr="000223A1">
        <w:rPr>
          <w:sz w:val="22"/>
          <w:szCs w:val="22"/>
        </w:rPr>
        <w:t>the West Midlands average of 73.7</w:t>
      </w:r>
      <w:r w:rsidR="004E4314" w:rsidRPr="000223A1">
        <w:rPr>
          <w:sz w:val="22"/>
          <w:szCs w:val="22"/>
        </w:rPr>
        <w:t xml:space="preserve">% and the </w:t>
      </w:r>
      <w:r w:rsidR="00FB2715" w:rsidRPr="000223A1">
        <w:rPr>
          <w:sz w:val="22"/>
          <w:szCs w:val="22"/>
        </w:rPr>
        <w:t>GB</w:t>
      </w:r>
      <w:r w:rsidR="00D82083" w:rsidRPr="000223A1">
        <w:rPr>
          <w:sz w:val="22"/>
          <w:szCs w:val="22"/>
        </w:rPr>
        <w:t xml:space="preserve"> a</w:t>
      </w:r>
      <w:r w:rsidR="00FB2715" w:rsidRPr="000223A1">
        <w:rPr>
          <w:sz w:val="22"/>
          <w:szCs w:val="22"/>
        </w:rPr>
        <w:t>verage of 7</w:t>
      </w:r>
      <w:r w:rsidR="007D6151" w:rsidRPr="000223A1">
        <w:rPr>
          <w:sz w:val="22"/>
          <w:szCs w:val="22"/>
        </w:rPr>
        <w:t>5.2</w:t>
      </w:r>
      <w:r w:rsidR="004E4314" w:rsidRPr="000223A1">
        <w:rPr>
          <w:sz w:val="22"/>
          <w:szCs w:val="22"/>
        </w:rPr>
        <w:t>%.</w:t>
      </w:r>
    </w:p>
    <w:p w14:paraId="52794F60" w14:textId="7546AC3F" w:rsidR="000223A1" w:rsidRPr="00610EF3" w:rsidRDefault="0008510F" w:rsidP="00610EF3">
      <w:pPr>
        <w:pStyle w:val="ListParagraph"/>
        <w:numPr>
          <w:ilvl w:val="3"/>
          <w:numId w:val="20"/>
        </w:numPr>
        <w:ind w:left="709" w:right="421" w:hanging="709"/>
        <w:contextualSpacing w:val="0"/>
        <w:jc w:val="left"/>
        <w:rPr>
          <w:sz w:val="22"/>
          <w:szCs w:val="22"/>
        </w:rPr>
      </w:pPr>
      <w:r w:rsidRPr="000223A1">
        <w:rPr>
          <w:sz w:val="22"/>
          <w:szCs w:val="22"/>
        </w:rPr>
        <w:t>6</w:t>
      </w:r>
      <w:r w:rsidR="007D6151" w:rsidRPr="000223A1">
        <w:rPr>
          <w:sz w:val="22"/>
          <w:szCs w:val="22"/>
        </w:rPr>
        <w:t>8.8</w:t>
      </w:r>
      <w:r w:rsidR="004E4314" w:rsidRPr="000223A1">
        <w:rPr>
          <w:sz w:val="22"/>
          <w:szCs w:val="22"/>
        </w:rPr>
        <w:t xml:space="preserve">% </w:t>
      </w:r>
      <w:r w:rsidR="001214A1" w:rsidRPr="000223A1">
        <w:rPr>
          <w:sz w:val="22"/>
          <w:szCs w:val="22"/>
        </w:rPr>
        <w:t xml:space="preserve">of </w:t>
      </w:r>
      <w:r w:rsidR="00103BA3" w:rsidRPr="000223A1">
        <w:rPr>
          <w:sz w:val="22"/>
          <w:szCs w:val="22"/>
        </w:rPr>
        <w:t>adults</w:t>
      </w:r>
      <w:r w:rsidR="001214A1" w:rsidRPr="000223A1">
        <w:rPr>
          <w:sz w:val="22"/>
          <w:szCs w:val="22"/>
        </w:rPr>
        <w:t xml:space="preserve"> were </w:t>
      </w:r>
      <w:r w:rsidR="00103BA3" w:rsidRPr="000223A1">
        <w:rPr>
          <w:sz w:val="22"/>
          <w:szCs w:val="22"/>
        </w:rPr>
        <w:t>classed as employees</w:t>
      </w:r>
      <w:r w:rsidR="00ED4221" w:rsidRPr="000223A1">
        <w:rPr>
          <w:sz w:val="22"/>
          <w:szCs w:val="22"/>
        </w:rPr>
        <w:t xml:space="preserve"> in the District</w:t>
      </w:r>
      <w:r w:rsidR="0041123F" w:rsidRPr="000223A1">
        <w:rPr>
          <w:sz w:val="22"/>
          <w:szCs w:val="22"/>
        </w:rPr>
        <w:t xml:space="preserve">, and </w:t>
      </w:r>
      <w:r w:rsidR="001F3E6F" w:rsidRPr="000223A1">
        <w:rPr>
          <w:sz w:val="22"/>
          <w:szCs w:val="22"/>
        </w:rPr>
        <w:t>1</w:t>
      </w:r>
      <w:r w:rsidR="007D6151" w:rsidRPr="000223A1">
        <w:rPr>
          <w:sz w:val="22"/>
          <w:szCs w:val="22"/>
        </w:rPr>
        <w:t>1.4</w:t>
      </w:r>
      <w:r w:rsidR="004E4314" w:rsidRPr="000223A1">
        <w:rPr>
          <w:sz w:val="22"/>
          <w:szCs w:val="22"/>
        </w:rPr>
        <w:t>% classed as self-employed.</w:t>
      </w:r>
      <w:r w:rsidR="00103BA3" w:rsidRPr="000223A1">
        <w:rPr>
          <w:sz w:val="22"/>
          <w:szCs w:val="22"/>
        </w:rPr>
        <w:t xml:space="preserve"> </w:t>
      </w:r>
    </w:p>
    <w:p w14:paraId="6F62E90A" w14:textId="4048E188" w:rsidR="000223A1" w:rsidRPr="00610EF3" w:rsidRDefault="00243F80" w:rsidP="00610EF3">
      <w:pPr>
        <w:pStyle w:val="ListParagraph"/>
        <w:numPr>
          <w:ilvl w:val="3"/>
          <w:numId w:val="20"/>
        </w:numPr>
        <w:ind w:left="709" w:right="421" w:hanging="709"/>
        <w:contextualSpacing w:val="0"/>
        <w:jc w:val="left"/>
        <w:rPr>
          <w:sz w:val="22"/>
          <w:szCs w:val="22"/>
        </w:rPr>
      </w:pPr>
      <w:r w:rsidRPr="000223A1">
        <w:rPr>
          <w:sz w:val="22"/>
          <w:szCs w:val="22"/>
        </w:rPr>
        <w:t xml:space="preserve">In </w:t>
      </w:r>
      <w:r w:rsidR="001F3E6F" w:rsidRPr="000223A1">
        <w:rPr>
          <w:sz w:val="22"/>
          <w:szCs w:val="22"/>
        </w:rPr>
        <w:t>March 202</w:t>
      </w:r>
      <w:r w:rsidR="00EF3E59" w:rsidRPr="000223A1">
        <w:rPr>
          <w:sz w:val="22"/>
          <w:szCs w:val="22"/>
        </w:rPr>
        <w:t>2</w:t>
      </w:r>
      <w:r w:rsidRPr="000223A1">
        <w:rPr>
          <w:sz w:val="22"/>
          <w:szCs w:val="22"/>
        </w:rPr>
        <w:t xml:space="preserve">, </w:t>
      </w:r>
      <w:r w:rsidR="00EF3E59" w:rsidRPr="000223A1">
        <w:rPr>
          <w:sz w:val="22"/>
          <w:szCs w:val="22"/>
        </w:rPr>
        <w:t xml:space="preserve">1,900 </w:t>
      </w:r>
      <w:r w:rsidR="00103BA3" w:rsidRPr="000223A1">
        <w:rPr>
          <w:sz w:val="22"/>
          <w:szCs w:val="22"/>
        </w:rPr>
        <w:t>people were classed as unemployed</w:t>
      </w:r>
      <w:r w:rsidR="00ED4221" w:rsidRPr="000223A1">
        <w:rPr>
          <w:sz w:val="22"/>
          <w:szCs w:val="22"/>
        </w:rPr>
        <w:t xml:space="preserve"> in the District</w:t>
      </w:r>
      <w:r w:rsidR="0041123F" w:rsidRPr="000223A1">
        <w:rPr>
          <w:sz w:val="22"/>
          <w:szCs w:val="22"/>
        </w:rPr>
        <w:t>, representing 3.</w:t>
      </w:r>
      <w:r w:rsidR="00EF3E59" w:rsidRPr="000223A1">
        <w:rPr>
          <w:sz w:val="22"/>
          <w:szCs w:val="22"/>
        </w:rPr>
        <w:t>0</w:t>
      </w:r>
      <w:r w:rsidR="00103BA3" w:rsidRPr="000223A1">
        <w:rPr>
          <w:sz w:val="22"/>
          <w:szCs w:val="22"/>
        </w:rPr>
        <w:t>% of the economically active population</w:t>
      </w:r>
      <w:r w:rsidR="00EF3E59" w:rsidRPr="000223A1">
        <w:rPr>
          <w:sz w:val="22"/>
          <w:szCs w:val="22"/>
        </w:rPr>
        <w:t>.</w:t>
      </w:r>
    </w:p>
    <w:p w14:paraId="11518106" w14:textId="3883DA14" w:rsidR="00912154" w:rsidRPr="00610EF3" w:rsidRDefault="00327E6B" w:rsidP="00610EF3">
      <w:pPr>
        <w:pStyle w:val="ListParagraph"/>
        <w:numPr>
          <w:ilvl w:val="3"/>
          <w:numId w:val="20"/>
        </w:numPr>
        <w:ind w:left="709" w:right="421" w:hanging="709"/>
        <w:contextualSpacing w:val="0"/>
        <w:jc w:val="left"/>
        <w:rPr>
          <w:sz w:val="22"/>
          <w:szCs w:val="22"/>
        </w:rPr>
      </w:pPr>
      <w:r w:rsidRPr="000223A1">
        <w:rPr>
          <w:sz w:val="22"/>
          <w:szCs w:val="22"/>
        </w:rPr>
        <w:t xml:space="preserve">In </w:t>
      </w:r>
      <w:r w:rsidR="001F3E6F" w:rsidRPr="000223A1">
        <w:rPr>
          <w:sz w:val="22"/>
          <w:szCs w:val="22"/>
        </w:rPr>
        <w:t>March 202</w:t>
      </w:r>
      <w:r w:rsidR="00554ECC" w:rsidRPr="000223A1">
        <w:rPr>
          <w:sz w:val="22"/>
          <w:szCs w:val="22"/>
        </w:rPr>
        <w:t>2</w:t>
      </w:r>
      <w:r w:rsidRPr="000223A1">
        <w:rPr>
          <w:sz w:val="22"/>
          <w:szCs w:val="22"/>
        </w:rPr>
        <w:t xml:space="preserve">, </w:t>
      </w:r>
      <w:r w:rsidR="001F3E6F" w:rsidRPr="000223A1">
        <w:rPr>
          <w:sz w:val="22"/>
          <w:szCs w:val="22"/>
        </w:rPr>
        <w:t>1</w:t>
      </w:r>
      <w:r w:rsidR="00554ECC" w:rsidRPr="000223A1">
        <w:rPr>
          <w:sz w:val="22"/>
          <w:szCs w:val="22"/>
        </w:rPr>
        <w:t>2,4</w:t>
      </w:r>
      <w:r w:rsidR="001F3E6F" w:rsidRPr="000223A1">
        <w:rPr>
          <w:sz w:val="22"/>
          <w:szCs w:val="22"/>
        </w:rPr>
        <w:t>00</w:t>
      </w:r>
      <w:r w:rsidR="000C5488" w:rsidRPr="000223A1">
        <w:rPr>
          <w:sz w:val="22"/>
          <w:szCs w:val="22"/>
        </w:rPr>
        <w:t xml:space="preserve"> people were classed as economically inactive,</w:t>
      </w:r>
      <w:r w:rsidR="0041123F" w:rsidRPr="000223A1">
        <w:rPr>
          <w:sz w:val="22"/>
          <w:szCs w:val="22"/>
        </w:rPr>
        <w:t xml:space="preserve"> representing approximately </w:t>
      </w:r>
      <w:r w:rsidR="00554ECC" w:rsidRPr="000223A1">
        <w:rPr>
          <w:sz w:val="22"/>
          <w:szCs w:val="22"/>
        </w:rPr>
        <w:t>17.6</w:t>
      </w:r>
      <w:r w:rsidR="000C5488" w:rsidRPr="000223A1">
        <w:rPr>
          <w:sz w:val="22"/>
          <w:szCs w:val="22"/>
        </w:rPr>
        <w:t xml:space="preserve">% of all 16-64 year olds. </w:t>
      </w:r>
      <w:r w:rsidR="00391626" w:rsidRPr="000223A1">
        <w:rPr>
          <w:sz w:val="22"/>
          <w:szCs w:val="22"/>
        </w:rPr>
        <w:t>The economic inactivity rate averages at around</w:t>
      </w:r>
      <w:r w:rsidR="001F3E6F" w:rsidRPr="000223A1">
        <w:rPr>
          <w:sz w:val="22"/>
          <w:szCs w:val="22"/>
        </w:rPr>
        <w:t xml:space="preserve"> 18</w:t>
      </w:r>
      <w:r w:rsidR="00950543">
        <w:rPr>
          <w:sz w:val="22"/>
          <w:szCs w:val="22"/>
        </w:rPr>
        <w:t>-</w:t>
      </w:r>
      <w:r w:rsidR="00391626" w:rsidRPr="000223A1">
        <w:rPr>
          <w:sz w:val="22"/>
          <w:szCs w:val="22"/>
        </w:rPr>
        <w:t>20% during the last 20 years.</w:t>
      </w:r>
    </w:p>
    <w:p w14:paraId="146B37B6" w14:textId="77777777" w:rsidR="00B07B5F" w:rsidRPr="00E55171" w:rsidRDefault="000C5488" w:rsidP="00610EF3">
      <w:pPr>
        <w:pStyle w:val="ListParagraph"/>
        <w:numPr>
          <w:ilvl w:val="1"/>
          <w:numId w:val="20"/>
        </w:numPr>
        <w:ind w:left="709" w:hanging="709"/>
        <w:contextualSpacing w:val="0"/>
        <w:jc w:val="left"/>
        <w:rPr>
          <w:b/>
          <w:i/>
          <w:iCs/>
          <w:vanish/>
          <w:sz w:val="22"/>
          <w:szCs w:val="22"/>
        </w:rPr>
      </w:pPr>
      <w:r w:rsidRPr="00E55171">
        <w:rPr>
          <w:b/>
          <w:i/>
          <w:iCs/>
          <w:sz w:val="22"/>
          <w:szCs w:val="22"/>
        </w:rPr>
        <w:t xml:space="preserve">Unemployment </w:t>
      </w:r>
      <w:r w:rsidR="00000C59" w:rsidRPr="00E55171">
        <w:rPr>
          <w:b/>
          <w:i/>
          <w:iCs/>
          <w:sz w:val="22"/>
          <w:szCs w:val="22"/>
        </w:rPr>
        <w:t>B</w:t>
      </w:r>
      <w:r w:rsidRPr="00E55171">
        <w:rPr>
          <w:b/>
          <w:i/>
          <w:iCs/>
          <w:sz w:val="22"/>
          <w:szCs w:val="22"/>
        </w:rPr>
        <w:t xml:space="preserve">enefit </w:t>
      </w:r>
      <w:r w:rsidR="00000C59" w:rsidRPr="00E55171">
        <w:rPr>
          <w:b/>
          <w:i/>
          <w:iCs/>
          <w:sz w:val="22"/>
          <w:szCs w:val="22"/>
        </w:rPr>
        <w:t>Cl</w:t>
      </w:r>
      <w:r w:rsidRPr="00E55171">
        <w:rPr>
          <w:b/>
          <w:i/>
          <w:iCs/>
          <w:sz w:val="22"/>
          <w:szCs w:val="22"/>
        </w:rPr>
        <w:t>aims</w:t>
      </w:r>
    </w:p>
    <w:p w14:paraId="4FA797B2" w14:textId="77777777" w:rsidR="001B25FA" w:rsidRPr="0041163C" w:rsidRDefault="001B25FA" w:rsidP="00610EF3">
      <w:pPr>
        <w:pStyle w:val="NoSpacing"/>
        <w:spacing w:after="120"/>
        <w:ind w:left="0" w:firstLine="0"/>
      </w:pPr>
    </w:p>
    <w:p w14:paraId="5AF71ADB" w14:textId="093EFA69" w:rsidR="000223A1" w:rsidRPr="00610EF3" w:rsidRDefault="000C5488" w:rsidP="00610EF3">
      <w:pPr>
        <w:pStyle w:val="ListParagraph"/>
        <w:numPr>
          <w:ilvl w:val="3"/>
          <w:numId w:val="20"/>
        </w:numPr>
        <w:ind w:left="709" w:right="421" w:hanging="709"/>
        <w:contextualSpacing w:val="0"/>
        <w:jc w:val="left"/>
        <w:rPr>
          <w:sz w:val="22"/>
          <w:szCs w:val="22"/>
        </w:rPr>
      </w:pPr>
      <w:r w:rsidRPr="0041163C">
        <w:rPr>
          <w:sz w:val="22"/>
          <w:szCs w:val="22"/>
        </w:rPr>
        <w:t xml:space="preserve">In </w:t>
      </w:r>
      <w:r w:rsidR="004526FB" w:rsidRPr="0041163C">
        <w:rPr>
          <w:sz w:val="22"/>
          <w:szCs w:val="22"/>
        </w:rPr>
        <w:t>August</w:t>
      </w:r>
      <w:r w:rsidR="005D4FE0" w:rsidRPr="0041163C">
        <w:rPr>
          <w:sz w:val="22"/>
          <w:szCs w:val="22"/>
        </w:rPr>
        <w:t xml:space="preserve"> 202</w:t>
      </w:r>
      <w:r w:rsidR="004526FB" w:rsidRPr="0041163C">
        <w:rPr>
          <w:sz w:val="22"/>
          <w:szCs w:val="22"/>
        </w:rPr>
        <w:t>2</w:t>
      </w:r>
      <w:r w:rsidRPr="0041163C">
        <w:rPr>
          <w:sz w:val="22"/>
          <w:szCs w:val="22"/>
        </w:rPr>
        <w:t xml:space="preserve"> there were </w:t>
      </w:r>
      <w:r w:rsidR="004526FB" w:rsidRPr="0041163C">
        <w:rPr>
          <w:sz w:val="22"/>
          <w:szCs w:val="22"/>
        </w:rPr>
        <w:t>1,665</w:t>
      </w:r>
      <w:r w:rsidRPr="0041163C">
        <w:rPr>
          <w:sz w:val="22"/>
          <w:szCs w:val="22"/>
        </w:rPr>
        <w:t xml:space="preserve"> claiming </w:t>
      </w:r>
      <w:r w:rsidR="00EE1E80" w:rsidRPr="0041163C">
        <w:rPr>
          <w:sz w:val="22"/>
          <w:szCs w:val="22"/>
        </w:rPr>
        <w:t>un</w:t>
      </w:r>
      <w:r w:rsidRPr="0041163C">
        <w:rPr>
          <w:sz w:val="22"/>
          <w:szCs w:val="22"/>
        </w:rPr>
        <w:t>employment benefits of some kind</w:t>
      </w:r>
      <w:r w:rsidR="00EE1E80" w:rsidRPr="0041163C">
        <w:rPr>
          <w:sz w:val="22"/>
          <w:szCs w:val="22"/>
        </w:rPr>
        <w:t xml:space="preserve"> in Stratford </w:t>
      </w:r>
      <w:r w:rsidR="001D61F1" w:rsidRPr="0041163C">
        <w:rPr>
          <w:sz w:val="22"/>
          <w:szCs w:val="22"/>
        </w:rPr>
        <w:t>District</w:t>
      </w:r>
      <w:r w:rsidR="008E7D7D">
        <w:rPr>
          <w:rStyle w:val="EndnoteReference"/>
          <w:sz w:val="22"/>
          <w:szCs w:val="22"/>
        </w:rPr>
        <w:endnoteReference w:id="25"/>
      </w:r>
      <w:r w:rsidRPr="0041163C">
        <w:rPr>
          <w:sz w:val="22"/>
          <w:szCs w:val="22"/>
        </w:rPr>
        <w:t>. 5</w:t>
      </w:r>
      <w:r w:rsidR="0041163C" w:rsidRPr="0041163C">
        <w:rPr>
          <w:sz w:val="22"/>
          <w:szCs w:val="22"/>
        </w:rPr>
        <w:t>3</w:t>
      </w:r>
      <w:r w:rsidR="005D4FE0" w:rsidRPr="0041163C">
        <w:rPr>
          <w:sz w:val="22"/>
          <w:szCs w:val="22"/>
        </w:rPr>
        <w:t>% of these were men, 4</w:t>
      </w:r>
      <w:r w:rsidR="0041163C" w:rsidRPr="0041163C">
        <w:rPr>
          <w:sz w:val="22"/>
          <w:szCs w:val="22"/>
        </w:rPr>
        <w:t>7</w:t>
      </w:r>
      <w:r w:rsidRPr="0041163C">
        <w:rPr>
          <w:sz w:val="22"/>
          <w:szCs w:val="22"/>
        </w:rPr>
        <w:t xml:space="preserve">% women. </w:t>
      </w:r>
      <w:r w:rsidR="005D4FE0" w:rsidRPr="0041163C">
        <w:rPr>
          <w:sz w:val="22"/>
          <w:szCs w:val="22"/>
        </w:rPr>
        <w:t xml:space="preserve">This represents </w:t>
      </w:r>
      <w:r w:rsidR="0041163C" w:rsidRPr="0041163C">
        <w:rPr>
          <w:sz w:val="22"/>
          <w:szCs w:val="22"/>
        </w:rPr>
        <w:t>2</w:t>
      </w:r>
      <w:r w:rsidR="005D4FE0" w:rsidRPr="0041163C">
        <w:rPr>
          <w:sz w:val="22"/>
          <w:szCs w:val="22"/>
        </w:rPr>
        <w:t>.2</w:t>
      </w:r>
      <w:r w:rsidR="00CB6754" w:rsidRPr="0041163C">
        <w:rPr>
          <w:sz w:val="22"/>
          <w:szCs w:val="22"/>
        </w:rPr>
        <w:t>% of the total population aged 16-64 years.</w:t>
      </w:r>
    </w:p>
    <w:p w14:paraId="0627773E" w14:textId="71BEFAAC" w:rsidR="000223A1" w:rsidRPr="00610EF3" w:rsidRDefault="00FA727A" w:rsidP="00610EF3">
      <w:pPr>
        <w:pStyle w:val="ListParagraph"/>
        <w:numPr>
          <w:ilvl w:val="3"/>
          <w:numId w:val="20"/>
        </w:numPr>
        <w:ind w:left="709" w:right="421" w:hanging="709"/>
        <w:contextualSpacing w:val="0"/>
        <w:jc w:val="left"/>
        <w:rPr>
          <w:sz w:val="22"/>
          <w:szCs w:val="22"/>
        </w:rPr>
      </w:pPr>
      <w:r w:rsidRPr="000223A1">
        <w:rPr>
          <w:sz w:val="22"/>
          <w:szCs w:val="22"/>
        </w:rPr>
        <w:lastRenderedPageBreak/>
        <w:t>Younger adults had a higher rate of claiming benefits than headline rate:</w:t>
      </w:r>
      <w:r w:rsidR="00833C2E">
        <w:rPr>
          <w:sz w:val="22"/>
          <w:szCs w:val="22"/>
        </w:rPr>
        <w:t xml:space="preserve"> </w:t>
      </w:r>
      <w:r w:rsidRPr="000223A1">
        <w:rPr>
          <w:sz w:val="22"/>
          <w:szCs w:val="22"/>
        </w:rPr>
        <w:t>2.9</w:t>
      </w:r>
      <w:r w:rsidR="00CB6754" w:rsidRPr="000223A1">
        <w:rPr>
          <w:sz w:val="22"/>
          <w:szCs w:val="22"/>
        </w:rPr>
        <w:t>% of all adults aged 18-21 year</w:t>
      </w:r>
      <w:r w:rsidR="005D4FE0" w:rsidRPr="000223A1">
        <w:rPr>
          <w:sz w:val="22"/>
          <w:szCs w:val="22"/>
        </w:rPr>
        <w:t xml:space="preserve">s were claiming benefits and </w:t>
      </w:r>
      <w:r w:rsidRPr="000223A1">
        <w:rPr>
          <w:sz w:val="22"/>
          <w:szCs w:val="22"/>
        </w:rPr>
        <w:t>2.7</w:t>
      </w:r>
      <w:r w:rsidR="00CB6754" w:rsidRPr="000223A1">
        <w:rPr>
          <w:sz w:val="22"/>
          <w:szCs w:val="22"/>
        </w:rPr>
        <w:t>% of all those aged 18-24 years</w:t>
      </w:r>
      <w:r w:rsidR="003760FD" w:rsidRPr="000223A1">
        <w:rPr>
          <w:sz w:val="22"/>
          <w:szCs w:val="22"/>
        </w:rPr>
        <w:t xml:space="preserve"> in the District</w:t>
      </w:r>
      <w:r w:rsidR="00CB6754" w:rsidRPr="000223A1">
        <w:rPr>
          <w:sz w:val="22"/>
          <w:szCs w:val="22"/>
        </w:rPr>
        <w:t>.</w:t>
      </w:r>
    </w:p>
    <w:p w14:paraId="21C7E0E5" w14:textId="0C86A857" w:rsidR="00B07B5F" w:rsidRPr="00610EF3" w:rsidRDefault="00CB6754" w:rsidP="00610EF3">
      <w:pPr>
        <w:pStyle w:val="ListParagraph"/>
        <w:numPr>
          <w:ilvl w:val="3"/>
          <w:numId w:val="20"/>
        </w:numPr>
        <w:ind w:left="709" w:right="421" w:hanging="709"/>
        <w:contextualSpacing w:val="0"/>
        <w:jc w:val="left"/>
        <w:rPr>
          <w:sz w:val="22"/>
          <w:szCs w:val="22"/>
        </w:rPr>
      </w:pPr>
      <w:r w:rsidRPr="000223A1">
        <w:rPr>
          <w:sz w:val="22"/>
          <w:szCs w:val="22"/>
        </w:rPr>
        <w:t xml:space="preserve">By comparison, </w:t>
      </w:r>
      <w:r w:rsidR="00F5304D" w:rsidRPr="000223A1">
        <w:rPr>
          <w:sz w:val="22"/>
          <w:szCs w:val="22"/>
        </w:rPr>
        <w:t xml:space="preserve">only </w:t>
      </w:r>
      <w:r w:rsidR="008E7D7D" w:rsidRPr="000223A1">
        <w:rPr>
          <w:sz w:val="22"/>
          <w:szCs w:val="22"/>
        </w:rPr>
        <w:t>1</w:t>
      </w:r>
      <w:r w:rsidR="005D4FE0" w:rsidRPr="000223A1">
        <w:rPr>
          <w:sz w:val="22"/>
          <w:szCs w:val="22"/>
        </w:rPr>
        <w:t>.6</w:t>
      </w:r>
      <w:r w:rsidRPr="000223A1">
        <w:rPr>
          <w:sz w:val="22"/>
          <w:szCs w:val="22"/>
        </w:rPr>
        <w:t>% of all economically active adults aged 50 years or over were claiming benefits.</w:t>
      </w:r>
    </w:p>
    <w:p w14:paraId="39A58F60" w14:textId="044421C2" w:rsidR="001B25FA" w:rsidRPr="00E55171" w:rsidRDefault="000C5488" w:rsidP="00610EF3">
      <w:pPr>
        <w:pStyle w:val="ListParagraph"/>
        <w:numPr>
          <w:ilvl w:val="1"/>
          <w:numId w:val="20"/>
        </w:numPr>
        <w:ind w:right="421"/>
        <w:contextualSpacing w:val="0"/>
        <w:jc w:val="left"/>
        <w:rPr>
          <w:b/>
          <w:i/>
          <w:iCs/>
          <w:sz w:val="22"/>
          <w:szCs w:val="22"/>
        </w:rPr>
      </w:pPr>
      <w:r w:rsidRPr="00E55171">
        <w:rPr>
          <w:b/>
          <w:i/>
          <w:iCs/>
          <w:sz w:val="22"/>
          <w:szCs w:val="22"/>
        </w:rPr>
        <w:t>Earnings</w:t>
      </w:r>
    </w:p>
    <w:p w14:paraId="2C7D66C7" w14:textId="20470F3F" w:rsidR="000223A1" w:rsidRPr="00610EF3" w:rsidRDefault="00B9160F" w:rsidP="00610EF3">
      <w:pPr>
        <w:pStyle w:val="ListParagraph"/>
        <w:numPr>
          <w:ilvl w:val="3"/>
          <w:numId w:val="20"/>
        </w:numPr>
        <w:ind w:left="709" w:right="421" w:hanging="709"/>
        <w:contextualSpacing w:val="0"/>
        <w:jc w:val="left"/>
        <w:rPr>
          <w:sz w:val="22"/>
          <w:szCs w:val="22"/>
        </w:rPr>
      </w:pPr>
      <w:r w:rsidRPr="00561E1D">
        <w:rPr>
          <w:sz w:val="22"/>
          <w:szCs w:val="22"/>
        </w:rPr>
        <w:t>The medi</w:t>
      </w:r>
      <w:r w:rsidR="005D4FE0" w:rsidRPr="00561E1D">
        <w:rPr>
          <w:sz w:val="22"/>
          <w:szCs w:val="22"/>
        </w:rPr>
        <w:t>an gross weekly earnings in 202</w:t>
      </w:r>
      <w:r w:rsidR="003A5010" w:rsidRPr="00561E1D">
        <w:rPr>
          <w:sz w:val="22"/>
          <w:szCs w:val="22"/>
        </w:rPr>
        <w:t>1</w:t>
      </w:r>
      <w:r w:rsidRPr="00561E1D">
        <w:rPr>
          <w:sz w:val="22"/>
          <w:szCs w:val="22"/>
        </w:rPr>
        <w:t xml:space="preserve"> f</w:t>
      </w:r>
      <w:r w:rsidR="001214A1" w:rsidRPr="00561E1D">
        <w:rPr>
          <w:sz w:val="22"/>
          <w:szCs w:val="22"/>
        </w:rPr>
        <w:t xml:space="preserve">or full time workers </w:t>
      </w:r>
      <w:r w:rsidR="003760FD" w:rsidRPr="00561E1D">
        <w:rPr>
          <w:sz w:val="22"/>
          <w:szCs w:val="22"/>
        </w:rPr>
        <w:t xml:space="preserve">in the District </w:t>
      </w:r>
      <w:r w:rsidR="005D4FE0" w:rsidRPr="00561E1D">
        <w:rPr>
          <w:sz w:val="22"/>
          <w:szCs w:val="22"/>
        </w:rPr>
        <w:t>was £6</w:t>
      </w:r>
      <w:r w:rsidR="003A5010" w:rsidRPr="00561E1D">
        <w:rPr>
          <w:sz w:val="22"/>
          <w:szCs w:val="22"/>
        </w:rPr>
        <w:t>76.10</w:t>
      </w:r>
      <w:r w:rsidR="00D846FC">
        <w:rPr>
          <w:rStyle w:val="EndnoteReference"/>
          <w:sz w:val="22"/>
          <w:szCs w:val="22"/>
        </w:rPr>
        <w:endnoteReference w:id="26"/>
      </w:r>
      <w:r w:rsidRPr="00561E1D">
        <w:rPr>
          <w:sz w:val="22"/>
          <w:szCs w:val="22"/>
        </w:rPr>
        <w:t xml:space="preserve">. This was </w:t>
      </w:r>
      <w:r w:rsidR="001214A1" w:rsidRPr="00561E1D">
        <w:rPr>
          <w:sz w:val="22"/>
          <w:szCs w:val="22"/>
        </w:rPr>
        <w:t>higher</w:t>
      </w:r>
      <w:r w:rsidRPr="00561E1D">
        <w:rPr>
          <w:sz w:val="22"/>
          <w:szCs w:val="22"/>
        </w:rPr>
        <w:t xml:space="preserve"> than the average for the West Midland</w:t>
      </w:r>
      <w:r w:rsidR="005D4FE0" w:rsidRPr="00561E1D">
        <w:rPr>
          <w:sz w:val="22"/>
          <w:szCs w:val="22"/>
        </w:rPr>
        <w:t>s at £</w:t>
      </w:r>
      <w:r w:rsidR="003A5010" w:rsidRPr="00561E1D">
        <w:rPr>
          <w:sz w:val="22"/>
          <w:szCs w:val="22"/>
        </w:rPr>
        <w:t>581.80</w:t>
      </w:r>
      <w:r w:rsidRPr="00561E1D">
        <w:rPr>
          <w:sz w:val="22"/>
          <w:szCs w:val="22"/>
        </w:rPr>
        <w:t xml:space="preserve">, and </w:t>
      </w:r>
      <w:r w:rsidR="001214A1" w:rsidRPr="00561E1D">
        <w:rPr>
          <w:sz w:val="22"/>
          <w:szCs w:val="22"/>
        </w:rPr>
        <w:t>that for Great Britain at £</w:t>
      </w:r>
      <w:r w:rsidR="003A5010" w:rsidRPr="00561E1D">
        <w:rPr>
          <w:sz w:val="22"/>
          <w:szCs w:val="22"/>
        </w:rPr>
        <w:t>613</w:t>
      </w:r>
      <w:r w:rsidR="005D4FE0" w:rsidRPr="00561E1D">
        <w:rPr>
          <w:sz w:val="22"/>
          <w:szCs w:val="22"/>
        </w:rPr>
        <w:t>.10</w:t>
      </w:r>
      <w:r w:rsidR="001214A1" w:rsidRPr="00561E1D">
        <w:rPr>
          <w:sz w:val="22"/>
          <w:szCs w:val="22"/>
        </w:rPr>
        <w:t xml:space="preserve">. This </w:t>
      </w:r>
      <w:r w:rsidR="0021396F" w:rsidRPr="00561E1D">
        <w:rPr>
          <w:sz w:val="22"/>
          <w:szCs w:val="22"/>
        </w:rPr>
        <w:t xml:space="preserve">represented a </w:t>
      </w:r>
      <w:r w:rsidR="00322A1C" w:rsidRPr="00561E1D">
        <w:rPr>
          <w:sz w:val="22"/>
          <w:szCs w:val="22"/>
        </w:rPr>
        <w:t>12.</w:t>
      </w:r>
      <w:r w:rsidR="00561E1D" w:rsidRPr="00561E1D">
        <w:rPr>
          <w:sz w:val="22"/>
          <w:szCs w:val="22"/>
        </w:rPr>
        <w:t>74</w:t>
      </w:r>
      <w:r w:rsidR="0021396F" w:rsidRPr="00561E1D">
        <w:rPr>
          <w:sz w:val="22"/>
          <w:szCs w:val="22"/>
        </w:rPr>
        <w:t xml:space="preserve">% </w:t>
      </w:r>
      <w:r w:rsidR="00561E1D" w:rsidRPr="00833C2E">
        <w:rPr>
          <w:iCs/>
          <w:sz w:val="22"/>
          <w:szCs w:val="22"/>
        </w:rPr>
        <w:t>increase</w:t>
      </w:r>
      <w:r w:rsidR="001214A1" w:rsidRPr="00561E1D">
        <w:rPr>
          <w:sz w:val="22"/>
          <w:szCs w:val="22"/>
        </w:rPr>
        <w:t xml:space="preserve"> on the median weekly wage for 2</w:t>
      </w:r>
      <w:r w:rsidR="00B63368" w:rsidRPr="00561E1D">
        <w:rPr>
          <w:sz w:val="22"/>
          <w:szCs w:val="22"/>
        </w:rPr>
        <w:t>0</w:t>
      </w:r>
      <w:r w:rsidR="00561E1D" w:rsidRPr="00561E1D">
        <w:rPr>
          <w:sz w:val="22"/>
          <w:szCs w:val="22"/>
        </w:rPr>
        <w:t>20</w:t>
      </w:r>
      <w:r w:rsidR="00B63368" w:rsidRPr="00561E1D">
        <w:rPr>
          <w:sz w:val="22"/>
          <w:szCs w:val="22"/>
        </w:rPr>
        <w:t xml:space="preserve">, and </w:t>
      </w:r>
      <w:r w:rsidR="00561E1D" w:rsidRPr="00561E1D">
        <w:rPr>
          <w:sz w:val="22"/>
          <w:szCs w:val="22"/>
        </w:rPr>
        <w:t>is the highest figure seen yet.</w:t>
      </w:r>
    </w:p>
    <w:p w14:paraId="5EFCE910" w14:textId="0AEFA6A5" w:rsidR="00D846FC" w:rsidRPr="00610EF3" w:rsidRDefault="00B9160F" w:rsidP="00610EF3">
      <w:pPr>
        <w:pStyle w:val="ListParagraph"/>
        <w:numPr>
          <w:ilvl w:val="3"/>
          <w:numId w:val="20"/>
        </w:numPr>
        <w:ind w:left="709" w:right="421" w:hanging="709"/>
        <w:contextualSpacing w:val="0"/>
        <w:jc w:val="left"/>
        <w:rPr>
          <w:sz w:val="22"/>
          <w:szCs w:val="22"/>
        </w:rPr>
      </w:pPr>
      <w:r w:rsidRPr="000223A1">
        <w:rPr>
          <w:sz w:val="22"/>
          <w:szCs w:val="22"/>
        </w:rPr>
        <w:t xml:space="preserve">The weekly median for </w:t>
      </w:r>
      <w:r w:rsidR="00AB4731" w:rsidRPr="000223A1">
        <w:rPr>
          <w:sz w:val="22"/>
          <w:szCs w:val="22"/>
        </w:rPr>
        <w:t xml:space="preserve">full-time </w:t>
      </w:r>
      <w:r w:rsidRPr="000223A1">
        <w:rPr>
          <w:sz w:val="22"/>
          <w:szCs w:val="22"/>
        </w:rPr>
        <w:t>men was £</w:t>
      </w:r>
      <w:r w:rsidR="00AB4731" w:rsidRPr="000223A1">
        <w:rPr>
          <w:sz w:val="22"/>
          <w:szCs w:val="22"/>
        </w:rPr>
        <w:t>794.10</w:t>
      </w:r>
      <w:r w:rsidRPr="000223A1">
        <w:rPr>
          <w:sz w:val="22"/>
          <w:szCs w:val="22"/>
        </w:rPr>
        <w:t xml:space="preserve"> while that for </w:t>
      </w:r>
      <w:r w:rsidR="00AB4731" w:rsidRPr="000223A1">
        <w:rPr>
          <w:sz w:val="22"/>
          <w:szCs w:val="22"/>
        </w:rPr>
        <w:t xml:space="preserve">full-time </w:t>
      </w:r>
      <w:r w:rsidRPr="000223A1">
        <w:rPr>
          <w:sz w:val="22"/>
          <w:szCs w:val="22"/>
        </w:rPr>
        <w:t>women was £</w:t>
      </w:r>
      <w:r w:rsidR="0021396F" w:rsidRPr="000223A1">
        <w:rPr>
          <w:sz w:val="22"/>
          <w:szCs w:val="22"/>
        </w:rPr>
        <w:t>5</w:t>
      </w:r>
      <w:r w:rsidR="00AB4731" w:rsidRPr="000223A1">
        <w:rPr>
          <w:sz w:val="22"/>
          <w:szCs w:val="22"/>
        </w:rPr>
        <w:t>33.40</w:t>
      </w:r>
      <w:r w:rsidRPr="000223A1">
        <w:rPr>
          <w:sz w:val="22"/>
          <w:szCs w:val="22"/>
        </w:rPr>
        <w:t>.</w:t>
      </w:r>
      <w:r w:rsidR="001C53E1" w:rsidRPr="000223A1">
        <w:rPr>
          <w:sz w:val="22"/>
          <w:szCs w:val="22"/>
        </w:rPr>
        <w:t xml:space="preserve"> </w:t>
      </w:r>
      <w:r w:rsidR="00F5304D" w:rsidRPr="000223A1">
        <w:rPr>
          <w:sz w:val="22"/>
          <w:szCs w:val="22"/>
        </w:rPr>
        <w:t>Women’s w</w:t>
      </w:r>
      <w:r w:rsidR="0021396F" w:rsidRPr="000223A1">
        <w:rPr>
          <w:sz w:val="22"/>
          <w:szCs w:val="22"/>
        </w:rPr>
        <w:t xml:space="preserve">eekly median pay is therefore </w:t>
      </w:r>
      <w:r w:rsidR="00D846FC" w:rsidRPr="000223A1">
        <w:rPr>
          <w:sz w:val="22"/>
          <w:szCs w:val="22"/>
        </w:rPr>
        <w:t>only 67</w:t>
      </w:r>
      <w:r w:rsidR="00F5304D" w:rsidRPr="000223A1">
        <w:rPr>
          <w:sz w:val="22"/>
          <w:szCs w:val="22"/>
        </w:rPr>
        <w:t xml:space="preserve">% of men. </w:t>
      </w:r>
    </w:p>
    <w:p w14:paraId="6A518E8C" w14:textId="10398A38" w:rsidR="0030146E" w:rsidRPr="00E55171" w:rsidRDefault="001C53E1" w:rsidP="00610EF3">
      <w:pPr>
        <w:pStyle w:val="ListParagraph"/>
        <w:numPr>
          <w:ilvl w:val="1"/>
          <w:numId w:val="20"/>
        </w:numPr>
        <w:contextualSpacing w:val="0"/>
        <w:jc w:val="left"/>
        <w:rPr>
          <w:b/>
          <w:i/>
          <w:iCs/>
          <w:sz w:val="22"/>
          <w:szCs w:val="22"/>
        </w:rPr>
      </w:pPr>
      <w:r w:rsidRPr="00E55171">
        <w:rPr>
          <w:b/>
          <w:i/>
          <w:iCs/>
          <w:sz w:val="22"/>
          <w:szCs w:val="22"/>
        </w:rPr>
        <w:t>Qualifications</w:t>
      </w:r>
    </w:p>
    <w:p w14:paraId="0877C555" w14:textId="14EC388A" w:rsidR="000223A1" w:rsidRPr="00610EF3" w:rsidRDefault="00C5595B" w:rsidP="00610EF3">
      <w:pPr>
        <w:pStyle w:val="ListParagraph"/>
        <w:numPr>
          <w:ilvl w:val="3"/>
          <w:numId w:val="20"/>
        </w:numPr>
        <w:ind w:left="709" w:right="421" w:hanging="709"/>
        <w:contextualSpacing w:val="0"/>
        <w:jc w:val="left"/>
        <w:rPr>
          <w:sz w:val="22"/>
          <w:szCs w:val="22"/>
        </w:rPr>
      </w:pPr>
      <w:r w:rsidRPr="008660AE">
        <w:rPr>
          <w:sz w:val="22"/>
          <w:szCs w:val="22"/>
        </w:rPr>
        <w:t>In 202</w:t>
      </w:r>
      <w:r w:rsidR="00190F85" w:rsidRPr="008660AE">
        <w:rPr>
          <w:sz w:val="22"/>
          <w:szCs w:val="22"/>
        </w:rPr>
        <w:t>1</w:t>
      </w:r>
      <w:r w:rsidRPr="008660AE">
        <w:rPr>
          <w:sz w:val="22"/>
          <w:szCs w:val="22"/>
        </w:rPr>
        <w:t xml:space="preserve">, </w:t>
      </w:r>
      <w:r w:rsidR="00850480" w:rsidRPr="008660AE">
        <w:rPr>
          <w:sz w:val="22"/>
          <w:szCs w:val="22"/>
        </w:rPr>
        <w:t xml:space="preserve">Stratford-on-Avon </w:t>
      </w:r>
      <w:r w:rsidR="00826545" w:rsidRPr="008660AE">
        <w:rPr>
          <w:sz w:val="22"/>
          <w:szCs w:val="22"/>
        </w:rPr>
        <w:t>wa</w:t>
      </w:r>
      <w:r w:rsidR="00850480" w:rsidRPr="008660AE">
        <w:rPr>
          <w:sz w:val="22"/>
          <w:szCs w:val="22"/>
        </w:rPr>
        <w:t xml:space="preserve">s the </w:t>
      </w:r>
      <w:r w:rsidR="00826545" w:rsidRPr="008660AE">
        <w:rPr>
          <w:sz w:val="22"/>
          <w:szCs w:val="22"/>
        </w:rPr>
        <w:t>fifth</w:t>
      </w:r>
      <w:r w:rsidR="00850480" w:rsidRPr="008660AE">
        <w:rPr>
          <w:sz w:val="22"/>
          <w:szCs w:val="22"/>
        </w:rPr>
        <w:t xml:space="preserve"> most qualified authority within the West Midlands area</w:t>
      </w:r>
      <w:r w:rsidRPr="008660AE">
        <w:rPr>
          <w:sz w:val="22"/>
          <w:szCs w:val="22"/>
        </w:rPr>
        <w:t>,</w:t>
      </w:r>
      <w:r w:rsidR="00850480" w:rsidRPr="008660AE">
        <w:rPr>
          <w:sz w:val="22"/>
          <w:szCs w:val="22"/>
        </w:rPr>
        <w:t xml:space="preserve"> with </w:t>
      </w:r>
      <w:r w:rsidR="00B31DD9" w:rsidRPr="008660AE">
        <w:rPr>
          <w:sz w:val="22"/>
          <w:szCs w:val="22"/>
        </w:rPr>
        <w:t>49.</w:t>
      </w:r>
      <w:r w:rsidR="00826545" w:rsidRPr="008660AE">
        <w:rPr>
          <w:sz w:val="22"/>
          <w:szCs w:val="22"/>
        </w:rPr>
        <w:t>1</w:t>
      </w:r>
      <w:r w:rsidR="00F5304D" w:rsidRPr="008660AE">
        <w:rPr>
          <w:sz w:val="22"/>
          <w:szCs w:val="22"/>
        </w:rPr>
        <w:t xml:space="preserve">% of adults aged 16-64 years </w:t>
      </w:r>
      <w:r w:rsidR="00B31DD9" w:rsidRPr="008660AE">
        <w:rPr>
          <w:sz w:val="22"/>
          <w:szCs w:val="22"/>
        </w:rPr>
        <w:t>possessing an</w:t>
      </w:r>
      <w:r w:rsidR="00F5304D" w:rsidRPr="008660AE">
        <w:rPr>
          <w:sz w:val="22"/>
          <w:szCs w:val="22"/>
        </w:rPr>
        <w:t xml:space="preserve"> NVQ4 qualification or higher </w:t>
      </w:r>
      <w:r w:rsidR="00850480" w:rsidRPr="008660AE">
        <w:rPr>
          <w:sz w:val="22"/>
          <w:szCs w:val="22"/>
        </w:rPr>
        <w:t>(NVQ4 is equivalent to an HNC, NVQ6 is equivalent to an undergraduate degree, NVQ3 is equivalent to A Level)</w:t>
      </w:r>
      <w:r w:rsidR="008660AE">
        <w:rPr>
          <w:rStyle w:val="EndnoteReference"/>
          <w:sz w:val="22"/>
          <w:szCs w:val="22"/>
        </w:rPr>
        <w:endnoteReference w:id="27"/>
      </w:r>
      <w:r w:rsidRPr="008660AE">
        <w:rPr>
          <w:sz w:val="22"/>
          <w:szCs w:val="22"/>
        </w:rPr>
        <w:t>.</w:t>
      </w:r>
      <w:r w:rsidR="00850480" w:rsidRPr="008660AE">
        <w:rPr>
          <w:sz w:val="22"/>
          <w:szCs w:val="22"/>
        </w:rPr>
        <w:t xml:space="preserve"> The a</w:t>
      </w:r>
      <w:r w:rsidR="002F322E" w:rsidRPr="008660AE">
        <w:rPr>
          <w:sz w:val="22"/>
          <w:szCs w:val="22"/>
        </w:rPr>
        <w:t>verage for Great Britain is 43.</w:t>
      </w:r>
      <w:r w:rsidR="005B47C3" w:rsidRPr="008660AE">
        <w:rPr>
          <w:sz w:val="22"/>
          <w:szCs w:val="22"/>
        </w:rPr>
        <w:t>6</w:t>
      </w:r>
      <w:r w:rsidR="00850480" w:rsidRPr="008660AE">
        <w:rPr>
          <w:sz w:val="22"/>
          <w:szCs w:val="22"/>
        </w:rPr>
        <w:t xml:space="preserve">%, while for the </w:t>
      </w:r>
      <w:r w:rsidR="002F322E" w:rsidRPr="008660AE">
        <w:rPr>
          <w:sz w:val="22"/>
          <w:szCs w:val="22"/>
        </w:rPr>
        <w:t>West Midlands it is 3</w:t>
      </w:r>
      <w:r w:rsidR="005B47C3" w:rsidRPr="008660AE">
        <w:rPr>
          <w:sz w:val="22"/>
          <w:szCs w:val="22"/>
        </w:rPr>
        <w:t>8.9</w:t>
      </w:r>
      <w:r w:rsidR="00850480" w:rsidRPr="008660AE">
        <w:rPr>
          <w:sz w:val="22"/>
          <w:szCs w:val="22"/>
        </w:rPr>
        <w:t xml:space="preserve">%. </w:t>
      </w:r>
      <w:r w:rsidR="008660AE" w:rsidRPr="008660AE">
        <w:rPr>
          <w:sz w:val="22"/>
          <w:szCs w:val="22"/>
        </w:rPr>
        <w:t>Stafford</w:t>
      </w:r>
      <w:r w:rsidR="00850480" w:rsidRPr="008660AE">
        <w:rPr>
          <w:sz w:val="22"/>
          <w:szCs w:val="22"/>
        </w:rPr>
        <w:t xml:space="preserve"> </w:t>
      </w:r>
      <w:r w:rsidR="002F322E" w:rsidRPr="008660AE">
        <w:rPr>
          <w:sz w:val="22"/>
          <w:szCs w:val="22"/>
        </w:rPr>
        <w:t xml:space="preserve">is the most qualified with </w:t>
      </w:r>
      <w:r w:rsidR="008660AE" w:rsidRPr="008660AE">
        <w:rPr>
          <w:sz w:val="22"/>
          <w:szCs w:val="22"/>
        </w:rPr>
        <w:t>56.3</w:t>
      </w:r>
      <w:r w:rsidR="00850480" w:rsidRPr="008660AE">
        <w:rPr>
          <w:sz w:val="22"/>
          <w:szCs w:val="22"/>
        </w:rPr>
        <w:t>% of adults holding an NVQ4 or higher quali</w:t>
      </w:r>
      <w:r w:rsidR="002F322E" w:rsidRPr="008660AE">
        <w:rPr>
          <w:sz w:val="22"/>
          <w:szCs w:val="22"/>
        </w:rPr>
        <w:t xml:space="preserve">fication, followed by </w:t>
      </w:r>
      <w:r w:rsidR="00850480" w:rsidRPr="008660AE">
        <w:rPr>
          <w:sz w:val="22"/>
          <w:szCs w:val="22"/>
        </w:rPr>
        <w:t>Malvern Hills</w:t>
      </w:r>
      <w:r w:rsidR="008660AE" w:rsidRPr="008660AE">
        <w:rPr>
          <w:sz w:val="22"/>
          <w:szCs w:val="22"/>
        </w:rPr>
        <w:t>, Rugby then Warwick.</w:t>
      </w:r>
    </w:p>
    <w:p w14:paraId="611193F5" w14:textId="1A3C71CC" w:rsidR="00F63D6A" w:rsidRPr="00610EF3" w:rsidRDefault="002C7BB9" w:rsidP="00610EF3">
      <w:pPr>
        <w:pStyle w:val="ListParagraph"/>
        <w:numPr>
          <w:ilvl w:val="3"/>
          <w:numId w:val="20"/>
        </w:numPr>
        <w:ind w:left="709" w:right="421" w:hanging="709"/>
        <w:contextualSpacing w:val="0"/>
        <w:jc w:val="left"/>
        <w:rPr>
          <w:sz w:val="22"/>
          <w:szCs w:val="22"/>
        </w:rPr>
      </w:pPr>
      <w:r w:rsidRPr="000223A1">
        <w:rPr>
          <w:sz w:val="22"/>
          <w:szCs w:val="22"/>
        </w:rPr>
        <w:t>4.2</w:t>
      </w:r>
      <w:r w:rsidR="002F322E" w:rsidRPr="000223A1">
        <w:rPr>
          <w:sz w:val="22"/>
          <w:szCs w:val="22"/>
        </w:rPr>
        <w:t>% of working age adults had</w:t>
      </w:r>
      <w:r w:rsidR="00850480" w:rsidRPr="000223A1">
        <w:rPr>
          <w:sz w:val="22"/>
          <w:szCs w:val="22"/>
        </w:rPr>
        <w:t xml:space="preserve"> no qual</w:t>
      </w:r>
      <w:r w:rsidR="002F322E" w:rsidRPr="000223A1">
        <w:rPr>
          <w:sz w:val="22"/>
          <w:szCs w:val="22"/>
        </w:rPr>
        <w:t>ifications at all.</w:t>
      </w:r>
      <w:r w:rsidR="00FA3109" w:rsidRPr="000223A1">
        <w:rPr>
          <w:sz w:val="22"/>
          <w:szCs w:val="22"/>
        </w:rPr>
        <w:t xml:space="preserve"> </w:t>
      </w:r>
      <w:r w:rsidR="002F322E" w:rsidRPr="000223A1">
        <w:rPr>
          <w:sz w:val="22"/>
          <w:szCs w:val="22"/>
        </w:rPr>
        <w:t>This compared</w:t>
      </w:r>
      <w:r w:rsidR="00850480" w:rsidRPr="000223A1">
        <w:rPr>
          <w:sz w:val="22"/>
          <w:szCs w:val="22"/>
        </w:rPr>
        <w:t xml:space="preserve"> to the Great </w:t>
      </w:r>
      <w:r w:rsidR="002F322E" w:rsidRPr="000223A1">
        <w:rPr>
          <w:sz w:val="22"/>
          <w:szCs w:val="22"/>
        </w:rPr>
        <w:t xml:space="preserve">Britain average of </w:t>
      </w:r>
      <w:r w:rsidR="007802A8" w:rsidRPr="000223A1">
        <w:rPr>
          <w:sz w:val="22"/>
          <w:szCs w:val="22"/>
        </w:rPr>
        <w:t>6.6</w:t>
      </w:r>
      <w:r w:rsidR="00850480" w:rsidRPr="000223A1">
        <w:rPr>
          <w:sz w:val="22"/>
          <w:szCs w:val="22"/>
        </w:rPr>
        <w:t>% and that ac</w:t>
      </w:r>
      <w:r w:rsidR="002F322E" w:rsidRPr="000223A1">
        <w:rPr>
          <w:sz w:val="22"/>
          <w:szCs w:val="22"/>
        </w:rPr>
        <w:t xml:space="preserve">ross the West Midlands of </w:t>
      </w:r>
      <w:r w:rsidR="007802A8" w:rsidRPr="000223A1">
        <w:rPr>
          <w:sz w:val="22"/>
          <w:szCs w:val="22"/>
        </w:rPr>
        <w:t>7.8</w:t>
      </w:r>
      <w:r w:rsidR="00850480" w:rsidRPr="000223A1">
        <w:rPr>
          <w:sz w:val="22"/>
          <w:szCs w:val="22"/>
        </w:rPr>
        <w:t xml:space="preserve">%. This figure has fluctuated around </w:t>
      </w:r>
      <w:r w:rsidR="00403107" w:rsidRPr="000223A1">
        <w:rPr>
          <w:sz w:val="22"/>
          <w:szCs w:val="22"/>
        </w:rPr>
        <w:t>an average of 6% over the past five years</w:t>
      </w:r>
      <w:r w:rsidR="00C36E8B" w:rsidRPr="000223A1">
        <w:rPr>
          <w:sz w:val="22"/>
          <w:szCs w:val="22"/>
        </w:rPr>
        <w:t>, but the general trend over time is downwards as the population becomes better qualified</w:t>
      </w:r>
      <w:r w:rsidR="00403107" w:rsidRPr="000223A1">
        <w:rPr>
          <w:sz w:val="22"/>
          <w:szCs w:val="22"/>
        </w:rPr>
        <w:t>.</w:t>
      </w:r>
    </w:p>
    <w:p w14:paraId="353B0722" w14:textId="41B4395B" w:rsidR="00812E7D" w:rsidRPr="00E55171" w:rsidRDefault="00812E7D" w:rsidP="00610EF3">
      <w:pPr>
        <w:pStyle w:val="ListParagraph"/>
        <w:numPr>
          <w:ilvl w:val="1"/>
          <w:numId w:val="20"/>
        </w:numPr>
        <w:ind w:right="421"/>
        <w:contextualSpacing w:val="0"/>
        <w:jc w:val="left"/>
        <w:rPr>
          <w:b/>
          <w:i/>
          <w:iCs/>
          <w:sz w:val="22"/>
          <w:szCs w:val="22"/>
        </w:rPr>
      </w:pPr>
      <w:r w:rsidRPr="00E55171">
        <w:rPr>
          <w:b/>
          <w:i/>
          <w:iCs/>
          <w:sz w:val="22"/>
          <w:szCs w:val="22"/>
        </w:rPr>
        <w:t xml:space="preserve">Employment </w:t>
      </w:r>
      <w:r w:rsidR="003A4B19" w:rsidRPr="00E55171">
        <w:rPr>
          <w:b/>
          <w:i/>
          <w:iCs/>
          <w:sz w:val="22"/>
          <w:szCs w:val="22"/>
        </w:rPr>
        <w:t>and</w:t>
      </w:r>
      <w:r w:rsidR="00870622" w:rsidRPr="00E55171">
        <w:rPr>
          <w:b/>
          <w:i/>
          <w:iCs/>
          <w:sz w:val="22"/>
          <w:szCs w:val="22"/>
        </w:rPr>
        <w:t xml:space="preserve"> </w:t>
      </w:r>
      <w:r w:rsidRPr="00E55171">
        <w:rPr>
          <w:b/>
          <w:i/>
          <w:iCs/>
          <w:sz w:val="22"/>
          <w:szCs w:val="22"/>
        </w:rPr>
        <w:t>by Industry</w:t>
      </w:r>
    </w:p>
    <w:p w14:paraId="0B6A8824" w14:textId="16CA8139" w:rsidR="000223A1" w:rsidRPr="00610EF3" w:rsidRDefault="00DA5A50" w:rsidP="00610EF3">
      <w:pPr>
        <w:pStyle w:val="ListParagraph"/>
        <w:numPr>
          <w:ilvl w:val="3"/>
          <w:numId w:val="20"/>
        </w:numPr>
        <w:ind w:left="709" w:right="421" w:hanging="709"/>
        <w:contextualSpacing w:val="0"/>
        <w:jc w:val="left"/>
        <w:rPr>
          <w:sz w:val="22"/>
          <w:szCs w:val="22"/>
        </w:rPr>
      </w:pPr>
      <w:r w:rsidRPr="00B97692">
        <w:rPr>
          <w:sz w:val="22"/>
          <w:szCs w:val="22"/>
        </w:rPr>
        <w:t xml:space="preserve">Table 8 shows the breakdown of </w:t>
      </w:r>
      <w:r w:rsidR="0039494B">
        <w:rPr>
          <w:sz w:val="22"/>
          <w:szCs w:val="22"/>
        </w:rPr>
        <w:t xml:space="preserve">the </w:t>
      </w:r>
      <w:r w:rsidRPr="00B97692">
        <w:rPr>
          <w:sz w:val="22"/>
          <w:szCs w:val="22"/>
        </w:rPr>
        <w:t>number of jobs by industry sector</w:t>
      </w:r>
      <w:r w:rsidR="004F0639">
        <w:rPr>
          <w:rStyle w:val="EndnoteReference"/>
          <w:sz w:val="22"/>
          <w:szCs w:val="22"/>
        </w:rPr>
        <w:endnoteReference w:id="28"/>
      </w:r>
      <w:r w:rsidRPr="00B97692">
        <w:rPr>
          <w:sz w:val="22"/>
          <w:szCs w:val="22"/>
        </w:rPr>
        <w:t>.</w:t>
      </w:r>
    </w:p>
    <w:p w14:paraId="047982C6" w14:textId="0398C965" w:rsidR="000223A1" w:rsidRPr="00610EF3" w:rsidRDefault="00812E7D" w:rsidP="00610EF3">
      <w:pPr>
        <w:pStyle w:val="ListParagraph"/>
        <w:numPr>
          <w:ilvl w:val="3"/>
          <w:numId w:val="20"/>
        </w:numPr>
        <w:ind w:left="709" w:right="421" w:hanging="709"/>
        <w:contextualSpacing w:val="0"/>
        <w:jc w:val="left"/>
        <w:rPr>
          <w:sz w:val="22"/>
          <w:szCs w:val="22"/>
        </w:rPr>
      </w:pPr>
      <w:r w:rsidRPr="000223A1">
        <w:rPr>
          <w:sz w:val="22"/>
          <w:szCs w:val="22"/>
        </w:rPr>
        <w:t>Manufacturing accounts for the largest number of jobs at 1</w:t>
      </w:r>
      <w:r w:rsidR="00757379" w:rsidRPr="000223A1">
        <w:rPr>
          <w:sz w:val="22"/>
          <w:szCs w:val="22"/>
        </w:rPr>
        <w:t>2</w:t>
      </w:r>
      <w:r w:rsidRPr="000223A1">
        <w:rPr>
          <w:sz w:val="22"/>
          <w:szCs w:val="22"/>
        </w:rPr>
        <w:t>,000</w:t>
      </w:r>
      <w:r w:rsidR="00F2493A" w:rsidRPr="000223A1">
        <w:rPr>
          <w:sz w:val="22"/>
          <w:szCs w:val="22"/>
        </w:rPr>
        <w:t>, representing 17.32% total jobs in the district</w:t>
      </w:r>
      <w:r w:rsidRPr="000223A1">
        <w:rPr>
          <w:sz w:val="22"/>
          <w:szCs w:val="22"/>
        </w:rPr>
        <w:t xml:space="preserve">. </w:t>
      </w:r>
      <w:r w:rsidR="00F2493A" w:rsidRPr="000223A1">
        <w:rPr>
          <w:sz w:val="22"/>
          <w:szCs w:val="22"/>
        </w:rPr>
        <w:t>This is a</w:t>
      </w:r>
      <w:r w:rsidRPr="000223A1">
        <w:rPr>
          <w:sz w:val="22"/>
          <w:szCs w:val="22"/>
        </w:rPr>
        <w:t xml:space="preserve"> higher </w:t>
      </w:r>
      <w:r w:rsidR="00F2493A" w:rsidRPr="000223A1">
        <w:rPr>
          <w:sz w:val="22"/>
          <w:szCs w:val="22"/>
        </w:rPr>
        <w:t xml:space="preserve">proportion </w:t>
      </w:r>
      <w:r w:rsidR="007B6FBD" w:rsidRPr="000223A1">
        <w:rPr>
          <w:sz w:val="22"/>
          <w:szCs w:val="22"/>
        </w:rPr>
        <w:t xml:space="preserve">of jobs </w:t>
      </w:r>
      <w:r w:rsidRPr="000223A1">
        <w:rPr>
          <w:sz w:val="22"/>
          <w:szCs w:val="22"/>
        </w:rPr>
        <w:t xml:space="preserve">than the average for both </w:t>
      </w:r>
      <w:r w:rsidR="00427439" w:rsidRPr="000223A1">
        <w:rPr>
          <w:sz w:val="22"/>
          <w:szCs w:val="22"/>
        </w:rPr>
        <w:t>West Midlands</w:t>
      </w:r>
      <w:r w:rsidRPr="000223A1">
        <w:rPr>
          <w:sz w:val="22"/>
          <w:szCs w:val="22"/>
        </w:rPr>
        <w:t xml:space="preserve"> (1</w:t>
      </w:r>
      <w:r w:rsidR="00427439" w:rsidRPr="000223A1">
        <w:rPr>
          <w:sz w:val="22"/>
          <w:szCs w:val="22"/>
        </w:rPr>
        <w:t>0</w:t>
      </w:r>
      <w:r w:rsidRPr="000223A1">
        <w:rPr>
          <w:sz w:val="22"/>
          <w:szCs w:val="22"/>
        </w:rPr>
        <w:t xml:space="preserve">.9%) and </w:t>
      </w:r>
      <w:r w:rsidR="00B97692" w:rsidRPr="000223A1">
        <w:rPr>
          <w:sz w:val="22"/>
          <w:szCs w:val="22"/>
        </w:rPr>
        <w:t>Great Britain</w:t>
      </w:r>
      <w:r w:rsidRPr="000223A1">
        <w:rPr>
          <w:sz w:val="22"/>
          <w:szCs w:val="22"/>
        </w:rPr>
        <w:t xml:space="preserve"> (</w:t>
      </w:r>
      <w:r w:rsidR="00B97692" w:rsidRPr="000223A1">
        <w:rPr>
          <w:sz w:val="22"/>
          <w:szCs w:val="22"/>
        </w:rPr>
        <w:t>7.9</w:t>
      </w:r>
      <w:r w:rsidRPr="000223A1">
        <w:rPr>
          <w:sz w:val="22"/>
          <w:szCs w:val="22"/>
        </w:rPr>
        <w:t>%)</w:t>
      </w:r>
      <w:r w:rsidR="000223A1">
        <w:rPr>
          <w:sz w:val="22"/>
          <w:szCs w:val="22"/>
        </w:rPr>
        <w:t>.</w:t>
      </w:r>
    </w:p>
    <w:p w14:paraId="147B5877" w14:textId="76F56D12" w:rsidR="000223A1" w:rsidRPr="004F24A6" w:rsidRDefault="00B97692" w:rsidP="00610EF3">
      <w:pPr>
        <w:pStyle w:val="ListParagraph"/>
        <w:numPr>
          <w:ilvl w:val="3"/>
          <w:numId w:val="20"/>
        </w:numPr>
        <w:ind w:left="709" w:right="421" w:hanging="709"/>
        <w:contextualSpacing w:val="0"/>
        <w:jc w:val="left"/>
        <w:rPr>
          <w:sz w:val="22"/>
          <w:szCs w:val="22"/>
        </w:rPr>
      </w:pPr>
      <w:r w:rsidRPr="000223A1">
        <w:rPr>
          <w:sz w:val="22"/>
          <w:szCs w:val="22"/>
        </w:rPr>
        <w:t>The w</w:t>
      </w:r>
      <w:r w:rsidR="00812E7D" w:rsidRPr="000223A1">
        <w:rPr>
          <w:sz w:val="22"/>
          <w:szCs w:val="22"/>
        </w:rPr>
        <w:t>holesale and retail trade/repair of motor vehicles and motorcycles</w:t>
      </w:r>
      <w:r w:rsidRPr="000223A1">
        <w:rPr>
          <w:sz w:val="22"/>
          <w:szCs w:val="22"/>
        </w:rPr>
        <w:t xml:space="preserve"> was the next largest sector in terms of jobs</w:t>
      </w:r>
      <w:r w:rsidR="00812E7D" w:rsidRPr="000223A1">
        <w:rPr>
          <w:sz w:val="22"/>
          <w:szCs w:val="22"/>
        </w:rPr>
        <w:t>, with 10,000</w:t>
      </w:r>
      <w:r w:rsidR="007B6FBD" w:rsidRPr="000223A1">
        <w:rPr>
          <w:sz w:val="22"/>
          <w:szCs w:val="22"/>
        </w:rPr>
        <w:t>, meaning that 14.43% total jobs in the district were in this sector.</w:t>
      </w:r>
      <w:r w:rsidR="00701A5A" w:rsidRPr="000223A1">
        <w:rPr>
          <w:sz w:val="22"/>
          <w:szCs w:val="22"/>
        </w:rPr>
        <w:t xml:space="preserve"> This is the same as the G</w:t>
      </w:r>
      <w:r w:rsidR="006E4418">
        <w:rPr>
          <w:sz w:val="22"/>
          <w:szCs w:val="22"/>
        </w:rPr>
        <w:t xml:space="preserve">reat </w:t>
      </w:r>
      <w:r w:rsidR="00701A5A" w:rsidRPr="000223A1">
        <w:rPr>
          <w:sz w:val="22"/>
          <w:szCs w:val="22"/>
        </w:rPr>
        <w:t>B</w:t>
      </w:r>
      <w:r w:rsidR="006E4418">
        <w:rPr>
          <w:sz w:val="22"/>
          <w:szCs w:val="22"/>
        </w:rPr>
        <w:t>ritain</w:t>
      </w:r>
      <w:r w:rsidR="00701A5A" w:rsidRPr="000223A1">
        <w:rPr>
          <w:sz w:val="22"/>
          <w:szCs w:val="22"/>
        </w:rPr>
        <w:t xml:space="preserve"> average and slightly lower than the West Midlands figure of 16.1%.</w:t>
      </w:r>
    </w:p>
    <w:p w14:paraId="22C87F38" w14:textId="77777777" w:rsidR="006E4418" w:rsidRDefault="006E4418" w:rsidP="00610EF3">
      <w:pPr>
        <w:pStyle w:val="Caption"/>
        <w:keepNext/>
        <w:spacing w:after="120"/>
        <w:ind w:right="421" w:hanging="11"/>
        <w:rPr>
          <w:i w:val="0"/>
          <w:iCs w:val="0"/>
          <w:color w:val="auto"/>
          <w:sz w:val="22"/>
          <w:szCs w:val="22"/>
        </w:rPr>
      </w:pPr>
    </w:p>
    <w:p w14:paraId="2C8A9824" w14:textId="77777777" w:rsidR="006E4418" w:rsidRDefault="006E4418" w:rsidP="00610EF3">
      <w:pPr>
        <w:pStyle w:val="Caption"/>
        <w:keepNext/>
        <w:spacing w:after="120"/>
        <w:ind w:right="421" w:hanging="11"/>
        <w:rPr>
          <w:i w:val="0"/>
          <w:iCs w:val="0"/>
          <w:color w:val="auto"/>
          <w:sz w:val="22"/>
          <w:szCs w:val="22"/>
        </w:rPr>
      </w:pPr>
    </w:p>
    <w:p w14:paraId="1EF66A4E" w14:textId="77777777" w:rsidR="007210F9" w:rsidRDefault="007210F9">
      <w:pPr>
        <w:spacing w:after="0"/>
        <w:ind w:left="0" w:firstLine="0"/>
        <w:jc w:val="left"/>
        <w:rPr>
          <w:sz w:val="22"/>
          <w:szCs w:val="22"/>
        </w:rPr>
      </w:pPr>
      <w:r>
        <w:rPr>
          <w:i/>
          <w:iCs/>
          <w:sz w:val="22"/>
          <w:szCs w:val="22"/>
        </w:rPr>
        <w:br w:type="page"/>
      </w:r>
    </w:p>
    <w:p w14:paraId="5BC14F1C" w14:textId="5E7739EF" w:rsidR="00681668" w:rsidRPr="00AC7BD8" w:rsidRDefault="00681668" w:rsidP="00610EF3">
      <w:pPr>
        <w:pStyle w:val="Caption"/>
        <w:keepNext/>
        <w:spacing w:after="120"/>
        <w:ind w:right="421" w:hanging="11"/>
        <w:rPr>
          <w:i w:val="0"/>
          <w:iCs w:val="0"/>
          <w:color w:val="auto"/>
          <w:sz w:val="22"/>
          <w:szCs w:val="22"/>
        </w:rPr>
      </w:pPr>
      <w:r w:rsidRPr="00AC7BD8">
        <w:rPr>
          <w:i w:val="0"/>
          <w:iCs w:val="0"/>
          <w:color w:val="auto"/>
          <w:sz w:val="22"/>
          <w:szCs w:val="22"/>
        </w:rPr>
        <w:lastRenderedPageBreak/>
        <w:t xml:space="preserve">Table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Table \* ARABIC </w:instrText>
      </w:r>
      <w:r w:rsidR="00F61229" w:rsidRPr="00AC7BD8">
        <w:rPr>
          <w:i w:val="0"/>
          <w:iCs w:val="0"/>
          <w:color w:val="auto"/>
          <w:sz w:val="22"/>
          <w:szCs w:val="22"/>
        </w:rPr>
        <w:fldChar w:fldCharType="separate"/>
      </w:r>
      <w:r w:rsidR="00E94700" w:rsidRPr="00AC7BD8">
        <w:rPr>
          <w:i w:val="0"/>
          <w:iCs w:val="0"/>
          <w:noProof/>
          <w:color w:val="auto"/>
          <w:sz w:val="22"/>
          <w:szCs w:val="22"/>
        </w:rPr>
        <w:t>8</w:t>
      </w:r>
      <w:r w:rsidR="00F61229" w:rsidRPr="00AC7BD8">
        <w:rPr>
          <w:i w:val="0"/>
          <w:iCs w:val="0"/>
          <w:noProof/>
          <w:color w:val="auto"/>
          <w:sz w:val="22"/>
          <w:szCs w:val="22"/>
        </w:rPr>
        <w:fldChar w:fldCharType="end"/>
      </w:r>
    </w:p>
    <w:tbl>
      <w:tblPr>
        <w:tblStyle w:val="TableGrid"/>
        <w:tblW w:w="0" w:type="auto"/>
        <w:tblInd w:w="-289" w:type="dxa"/>
        <w:tblLook w:val="04A0" w:firstRow="1" w:lastRow="0" w:firstColumn="1" w:lastColumn="0" w:noHBand="0" w:noVBand="1"/>
      </w:tblPr>
      <w:tblGrid>
        <w:gridCol w:w="6947"/>
        <w:gridCol w:w="1021"/>
        <w:gridCol w:w="1030"/>
      </w:tblGrid>
      <w:tr w:rsidR="0039494B" w:rsidRPr="00631A41" w14:paraId="2B9855BB" w14:textId="77777777" w:rsidTr="0039494B">
        <w:tc>
          <w:tcPr>
            <w:tcW w:w="6947" w:type="dxa"/>
            <w:shd w:val="clear" w:color="auto" w:fill="auto"/>
          </w:tcPr>
          <w:p w14:paraId="2204D3D8" w14:textId="77777777" w:rsidR="0039494B" w:rsidRPr="00631A41" w:rsidRDefault="0039494B" w:rsidP="00D13C50">
            <w:pPr>
              <w:rPr>
                <w:sz w:val="18"/>
              </w:rPr>
            </w:pPr>
          </w:p>
        </w:tc>
        <w:tc>
          <w:tcPr>
            <w:tcW w:w="0" w:type="auto"/>
            <w:gridSpan w:val="2"/>
            <w:shd w:val="clear" w:color="auto" w:fill="auto"/>
            <w:vAlign w:val="center"/>
          </w:tcPr>
          <w:p w14:paraId="5F47BAD5" w14:textId="77777777" w:rsidR="0039494B" w:rsidRPr="00631A41" w:rsidRDefault="0039494B" w:rsidP="00D13C50">
            <w:pPr>
              <w:jc w:val="center"/>
              <w:rPr>
                <w:b/>
                <w:i/>
                <w:sz w:val="18"/>
              </w:rPr>
            </w:pPr>
            <w:r w:rsidRPr="00631A41">
              <w:rPr>
                <w:b/>
                <w:i/>
                <w:sz w:val="18"/>
              </w:rPr>
              <w:t>Employment 20</w:t>
            </w:r>
            <w:r>
              <w:rPr>
                <w:b/>
                <w:i/>
                <w:sz w:val="18"/>
              </w:rPr>
              <w:t>20</w:t>
            </w:r>
          </w:p>
        </w:tc>
      </w:tr>
      <w:tr w:rsidR="0039494B" w:rsidRPr="00631A41" w14:paraId="531945FC" w14:textId="77777777" w:rsidTr="0039494B">
        <w:tc>
          <w:tcPr>
            <w:tcW w:w="6947" w:type="dxa"/>
            <w:shd w:val="clear" w:color="auto" w:fill="auto"/>
          </w:tcPr>
          <w:p w14:paraId="0E1DA6C7" w14:textId="77777777" w:rsidR="0039494B" w:rsidRPr="00631A41" w:rsidRDefault="0039494B" w:rsidP="00D13C50">
            <w:pPr>
              <w:rPr>
                <w:sz w:val="18"/>
              </w:rPr>
            </w:pPr>
          </w:p>
        </w:tc>
        <w:tc>
          <w:tcPr>
            <w:tcW w:w="0" w:type="auto"/>
            <w:shd w:val="clear" w:color="auto" w:fill="auto"/>
            <w:vAlign w:val="center"/>
          </w:tcPr>
          <w:p w14:paraId="0E1DF91C" w14:textId="77777777" w:rsidR="0039494B" w:rsidRPr="00631A41" w:rsidRDefault="0039494B" w:rsidP="00D13C50">
            <w:pPr>
              <w:jc w:val="center"/>
              <w:rPr>
                <w:b/>
                <w:i/>
                <w:sz w:val="18"/>
              </w:rPr>
            </w:pPr>
            <w:r w:rsidRPr="00631A41">
              <w:rPr>
                <w:b/>
                <w:i/>
                <w:sz w:val="18"/>
              </w:rPr>
              <w:t>Count</w:t>
            </w:r>
          </w:p>
        </w:tc>
        <w:tc>
          <w:tcPr>
            <w:tcW w:w="0" w:type="auto"/>
            <w:shd w:val="clear" w:color="auto" w:fill="auto"/>
            <w:vAlign w:val="center"/>
          </w:tcPr>
          <w:p w14:paraId="2EEA6D4E" w14:textId="77777777" w:rsidR="0039494B" w:rsidRPr="00631A41" w:rsidRDefault="0039494B" w:rsidP="00D13C50">
            <w:pPr>
              <w:jc w:val="center"/>
              <w:rPr>
                <w:b/>
                <w:i/>
                <w:sz w:val="18"/>
              </w:rPr>
            </w:pPr>
            <w:r w:rsidRPr="00631A41">
              <w:rPr>
                <w:b/>
                <w:i/>
                <w:sz w:val="18"/>
              </w:rPr>
              <w:t>%</w:t>
            </w:r>
          </w:p>
        </w:tc>
      </w:tr>
      <w:tr w:rsidR="0039494B" w:rsidRPr="00631A41" w14:paraId="6AF48A90" w14:textId="77777777" w:rsidTr="0039494B">
        <w:trPr>
          <w:trHeight w:val="340"/>
        </w:trPr>
        <w:tc>
          <w:tcPr>
            <w:tcW w:w="6947" w:type="dxa"/>
            <w:shd w:val="clear" w:color="auto" w:fill="auto"/>
            <w:vAlign w:val="center"/>
          </w:tcPr>
          <w:p w14:paraId="0B9EB37C" w14:textId="77777777" w:rsidR="0039494B" w:rsidRPr="00EC18A6" w:rsidRDefault="0039494B" w:rsidP="00D13C50">
            <w:pPr>
              <w:rPr>
                <w:b/>
                <w:bCs/>
                <w:sz w:val="20"/>
                <w:szCs w:val="20"/>
              </w:rPr>
            </w:pPr>
            <w:r w:rsidRPr="00EC18A6">
              <w:rPr>
                <w:b/>
                <w:bCs/>
                <w:sz w:val="20"/>
                <w:szCs w:val="20"/>
              </w:rPr>
              <w:t>ABDE: Agriculture, mining, electricity, gas, water and waste</w:t>
            </w:r>
          </w:p>
        </w:tc>
        <w:tc>
          <w:tcPr>
            <w:tcW w:w="0" w:type="auto"/>
            <w:shd w:val="clear" w:color="auto" w:fill="auto"/>
            <w:vAlign w:val="center"/>
          </w:tcPr>
          <w:p w14:paraId="48624952" w14:textId="77777777" w:rsidR="0039494B" w:rsidRPr="00EC18A6" w:rsidRDefault="0039494B" w:rsidP="00D13C50">
            <w:pPr>
              <w:jc w:val="center"/>
              <w:rPr>
                <w:sz w:val="20"/>
                <w:szCs w:val="20"/>
              </w:rPr>
            </w:pPr>
            <w:r w:rsidRPr="00EC18A6">
              <w:rPr>
                <w:sz w:val="20"/>
                <w:szCs w:val="20"/>
              </w:rPr>
              <w:t>2,260</w:t>
            </w:r>
          </w:p>
        </w:tc>
        <w:tc>
          <w:tcPr>
            <w:tcW w:w="0" w:type="auto"/>
            <w:shd w:val="clear" w:color="auto" w:fill="auto"/>
            <w:vAlign w:val="center"/>
          </w:tcPr>
          <w:p w14:paraId="7DA3B79C" w14:textId="77777777" w:rsidR="0039494B" w:rsidRPr="00EC18A6" w:rsidRDefault="0039494B" w:rsidP="00D13C50">
            <w:pPr>
              <w:jc w:val="center"/>
              <w:rPr>
                <w:rFonts w:cstheme="majorHAnsi"/>
                <w:i/>
                <w:iCs/>
                <w:sz w:val="18"/>
                <w:szCs w:val="18"/>
              </w:rPr>
            </w:pPr>
            <w:r w:rsidRPr="00EC18A6">
              <w:rPr>
                <w:rFonts w:cstheme="majorHAnsi"/>
                <w:i/>
                <w:iCs/>
                <w:sz w:val="18"/>
                <w:szCs w:val="18"/>
              </w:rPr>
              <w:t>3.26%</w:t>
            </w:r>
          </w:p>
        </w:tc>
      </w:tr>
      <w:tr w:rsidR="0039494B" w:rsidRPr="00631A41" w14:paraId="5CBC4BEB" w14:textId="77777777" w:rsidTr="0039494B">
        <w:trPr>
          <w:trHeight w:val="340"/>
        </w:trPr>
        <w:tc>
          <w:tcPr>
            <w:tcW w:w="6947" w:type="dxa"/>
            <w:shd w:val="clear" w:color="auto" w:fill="auto"/>
            <w:vAlign w:val="center"/>
          </w:tcPr>
          <w:p w14:paraId="4274B70A" w14:textId="77777777" w:rsidR="0039494B" w:rsidRPr="00EC18A6" w:rsidRDefault="0039494B" w:rsidP="00D13C50">
            <w:pPr>
              <w:rPr>
                <w:b/>
                <w:bCs/>
                <w:sz w:val="20"/>
                <w:szCs w:val="20"/>
              </w:rPr>
            </w:pPr>
            <w:r w:rsidRPr="00EC18A6">
              <w:rPr>
                <w:b/>
                <w:bCs/>
                <w:sz w:val="20"/>
                <w:szCs w:val="20"/>
              </w:rPr>
              <w:t>C: Manufacturing</w:t>
            </w:r>
          </w:p>
        </w:tc>
        <w:tc>
          <w:tcPr>
            <w:tcW w:w="0" w:type="auto"/>
            <w:shd w:val="clear" w:color="auto" w:fill="auto"/>
            <w:vAlign w:val="center"/>
          </w:tcPr>
          <w:p w14:paraId="637AF161" w14:textId="77777777" w:rsidR="0039494B" w:rsidRPr="00EC18A6" w:rsidRDefault="0039494B" w:rsidP="00D13C50">
            <w:pPr>
              <w:jc w:val="center"/>
              <w:rPr>
                <w:sz w:val="20"/>
                <w:szCs w:val="20"/>
              </w:rPr>
            </w:pPr>
            <w:r w:rsidRPr="00EC18A6">
              <w:rPr>
                <w:sz w:val="20"/>
                <w:szCs w:val="20"/>
              </w:rPr>
              <w:t>12,000</w:t>
            </w:r>
          </w:p>
        </w:tc>
        <w:tc>
          <w:tcPr>
            <w:tcW w:w="0" w:type="auto"/>
            <w:shd w:val="clear" w:color="auto" w:fill="auto"/>
            <w:vAlign w:val="center"/>
          </w:tcPr>
          <w:p w14:paraId="7E8AF086" w14:textId="77777777" w:rsidR="0039494B" w:rsidRPr="00EC18A6" w:rsidRDefault="0039494B" w:rsidP="00D13C50">
            <w:pPr>
              <w:jc w:val="center"/>
              <w:rPr>
                <w:rFonts w:cstheme="majorHAnsi"/>
                <w:i/>
                <w:iCs/>
                <w:sz w:val="18"/>
                <w:szCs w:val="18"/>
              </w:rPr>
            </w:pPr>
            <w:r w:rsidRPr="00EC18A6">
              <w:rPr>
                <w:rFonts w:cstheme="majorHAnsi"/>
                <w:i/>
                <w:iCs/>
                <w:sz w:val="18"/>
                <w:szCs w:val="18"/>
              </w:rPr>
              <w:t>17.32%</w:t>
            </w:r>
          </w:p>
        </w:tc>
      </w:tr>
      <w:tr w:rsidR="0039494B" w:rsidRPr="00631A41" w14:paraId="23AC2077" w14:textId="77777777" w:rsidTr="0039494B">
        <w:trPr>
          <w:trHeight w:val="340"/>
        </w:trPr>
        <w:tc>
          <w:tcPr>
            <w:tcW w:w="6947" w:type="dxa"/>
            <w:shd w:val="clear" w:color="auto" w:fill="auto"/>
            <w:vAlign w:val="center"/>
          </w:tcPr>
          <w:p w14:paraId="3EB96D35" w14:textId="77777777" w:rsidR="0039494B" w:rsidRPr="00EC18A6" w:rsidRDefault="0039494B" w:rsidP="00D13C50">
            <w:pPr>
              <w:rPr>
                <w:b/>
                <w:bCs/>
                <w:sz w:val="20"/>
                <w:szCs w:val="20"/>
              </w:rPr>
            </w:pPr>
            <w:r w:rsidRPr="00EC18A6">
              <w:rPr>
                <w:b/>
                <w:bCs/>
                <w:sz w:val="20"/>
                <w:szCs w:val="20"/>
              </w:rPr>
              <w:t>F: Construction</w:t>
            </w:r>
          </w:p>
        </w:tc>
        <w:tc>
          <w:tcPr>
            <w:tcW w:w="0" w:type="auto"/>
            <w:shd w:val="clear" w:color="auto" w:fill="auto"/>
            <w:vAlign w:val="bottom"/>
          </w:tcPr>
          <w:p w14:paraId="77553B1F" w14:textId="77777777" w:rsidR="0039494B" w:rsidRPr="00EC18A6" w:rsidRDefault="0039494B" w:rsidP="00D13C50">
            <w:pPr>
              <w:jc w:val="center"/>
              <w:rPr>
                <w:sz w:val="20"/>
                <w:szCs w:val="20"/>
              </w:rPr>
            </w:pPr>
            <w:r w:rsidRPr="00EC18A6">
              <w:rPr>
                <w:sz w:val="20"/>
                <w:szCs w:val="20"/>
              </w:rPr>
              <w:t>3,000</w:t>
            </w:r>
          </w:p>
        </w:tc>
        <w:tc>
          <w:tcPr>
            <w:tcW w:w="0" w:type="auto"/>
            <w:shd w:val="clear" w:color="auto" w:fill="auto"/>
            <w:vAlign w:val="bottom"/>
          </w:tcPr>
          <w:p w14:paraId="1BCA1897"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4.33%</w:t>
            </w:r>
          </w:p>
        </w:tc>
      </w:tr>
      <w:tr w:rsidR="0039494B" w:rsidRPr="00631A41" w14:paraId="727F9250" w14:textId="77777777" w:rsidTr="0039494B">
        <w:trPr>
          <w:trHeight w:val="340"/>
        </w:trPr>
        <w:tc>
          <w:tcPr>
            <w:tcW w:w="6947" w:type="dxa"/>
            <w:shd w:val="clear" w:color="auto" w:fill="auto"/>
            <w:vAlign w:val="center"/>
          </w:tcPr>
          <w:p w14:paraId="1D664016" w14:textId="77777777" w:rsidR="0039494B" w:rsidRPr="00EC18A6" w:rsidRDefault="0039494B" w:rsidP="00D13C50">
            <w:pPr>
              <w:rPr>
                <w:b/>
                <w:bCs/>
                <w:sz w:val="20"/>
                <w:szCs w:val="20"/>
              </w:rPr>
            </w:pPr>
            <w:r w:rsidRPr="00EC18A6">
              <w:rPr>
                <w:b/>
                <w:bCs/>
                <w:sz w:val="20"/>
                <w:szCs w:val="20"/>
              </w:rPr>
              <w:t>G: Wholesale and retail trade</w:t>
            </w:r>
          </w:p>
        </w:tc>
        <w:tc>
          <w:tcPr>
            <w:tcW w:w="0" w:type="auto"/>
            <w:shd w:val="clear" w:color="auto" w:fill="auto"/>
            <w:vAlign w:val="bottom"/>
          </w:tcPr>
          <w:p w14:paraId="472A2E79" w14:textId="77777777" w:rsidR="0039494B" w:rsidRPr="00EC18A6" w:rsidRDefault="0039494B" w:rsidP="00D13C50">
            <w:pPr>
              <w:jc w:val="center"/>
              <w:rPr>
                <w:sz w:val="20"/>
                <w:szCs w:val="20"/>
              </w:rPr>
            </w:pPr>
            <w:r w:rsidRPr="00EC18A6">
              <w:rPr>
                <w:sz w:val="20"/>
                <w:szCs w:val="20"/>
              </w:rPr>
              <w:t>10,000</w:t>
            </w:r>
          </w:p>
        </w:tc>
        <w:tc>
          <w:tcPr>
            <w:tcW w:w="0" w:type="auto"/>
            <w:shd w:val="clear" w:color="auto" w:fill="auto"/>
            <w:vAlign w:val="bottom"/>
          </w:tcPr>
          <w:p w14:paraId="3845B877"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14.43%</w:t>
            </w:r>
          </w:p>
        </w:tc>
      </w:tr>
      <w:tr w:rsidR="0039494B" w:rsidRPr="00631A41" w14:paraId="2094E844" w14:textId="77777777" w:rsidTr="0039494B">
        <w:trPr>
          <w:trHeight w:val="340"/>
        </w:trPr>
        <w:tc>
          <w:tcPr>
            <w:tcW w:w="6947" w:type="dxa"/>
            <w:shd w:val="clear" w:color="auto" w:fill="auto"/>
            <w:vAlign w:val="center"/>
          </w:tcPr>
          <w:p w14:paraId="231CF6A2" w14:textId="77777777" w:rsidR="0039494B" w:rsidRPr="00EC18A6" w:rsidRDefault="0039494B" w:rsidP="00D13C50">
            <w:pPr>
              <w:rPr>
                <w:b/>
                <w:bCs/>
                <w:sz w:val="20"/>
                <w:szCs w:val="20"/>
              </w:rPr>
            </w:pPr>
            <w:r w:rsidRPr="00EC18A6">
              <w:rPr>
                <w:b/>
                <w:bCs/>
                <w:sz w:val="20"/>
                <w:szCs w:val="20"/>
              </w:rPr>
              <w:t>H: Transportation and Storage</w:t>
            </w:r>
          </w:p>
        </w:tc>
        <w:tc>
          <w:tcPr>
            <w:tcW w:w="0" w:type="auto"/>
            <w:shd w:val="clear" w:color="auto" w:fill="auto"/>
            <w:vAlign w:val="bottom"/>
          </w:tcPr>
          <w:p w14:paraId="72905CCD" w14:textId="77777777" w:rsidR="0039494B" w:rsidRPr="00EC18A6" w:rsidRDefault="0039494B" w:rsidP="00D13C50">
            <w:pPr>
              <w:jc w:val="center"/>
              <w:rPr>
                <w:sz w:val="20"/>
                <w:szCs w:val="20"/>
              </w:rPr>
            </w:pPr>
            <w:r w:rsidRPr="00EC18A6">
              <w:rPr>
                <w:sz w:val="20"/>
                <w:szCs w:val="20"/>
              </w:rPr>
              <w:t>1,250</w:t>
            </w:r>
          </w:p>
        </w:tc>
        <w:tc>
          <w:tcPr>
            <w:tcW w:w="0" w:type="auto"/>
            <w:shd w:val="clear" w:color="auto" w:fill="auto"/>
            <w:vAlign w:val="bottom"/>
          </w:tcPr>
          <w:p w14:paraId="27452593"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1.80%</w:t>
            </w:r>
          </w:p>
        </w:tc>
      </w:tr>
      <w:tr w:rsidR="0039494B" w:rsidRPr="00631A41" w14:paraId="4CCDC0EE" w14:textId="77777777" w:rsidTr="0039494B">
        <w:trPr>
          <w:trHeight w:val="340"/>
        </w:trPr>
        <w:tc>
          <w:tcPr>
            <w:tcW w:w="6947" w:type="dxa"/>
            <w:shd w:val="clear" w:color="auto" w:fill="auto"/>
            <w:vAlign w:val="center"/>
          </w:tcPr>
          <w:p w14:paraId="0B9F474E" w14:textId="77777777" w:rsidR="0039494B" w:rsidRPr="00EC18A6" w:rsidRDefault="0039494B" w:rsidP="00D13C50">
            <w:pPr>
              <w:rPr>
                <w:b/>
                <w:bCs/>
                <w:sz w:val="20"/>
                <w:szCs w:val="20"/>
              </w:rPr>
            </w:pPr>
            <w:r w:rsidRPr="00EC18A6">
              <w:rPr>
                <w:b/>
                <w:bCs/>
                <w:sz w:val="20"/>
                <w:szCs w:val="20"/>
              </w:rPr>
              <w:t>I: Accommodation and Food service</w:t>
            </w:r>
          </w:p>
        </w:tc>
        <w:tc>
          <w:tcPr>
            <w:tcW w:w="0" w:type="auto"/>
            <w:shd w:val="clear" w:color="auto" w:fill="auto"/>
            <w:vAlign w:val="bottom"/>
          </w:tcPr>
          <w:p w14:paraId="26A071FA" w14:textId="77777777" w:rsidR="0039494B" w:rsidRPr="00EC18A6" w:rsidRDefault="0039494B" w:rsidP="00D13C50">
            <w:pPr>
              <w:jc w:val="center"/>
              <w:rPr>
                <w:sz w:val="20"/>
                <w:szCs w:val="20"/>
              </w:rPr>
            </w:pPr>
            <w:r w:rsidRPr="00EC18A6">
              <w:rPr>
                <w:sz w:val="20"/>
                <w:szCs w:val="20"/>
              </w:rPr>
              <w:t>6,000</w:t>
            </w:r>
          </w:p>
        </w:tc>
        <w:tc>
          <w:tcPr>
            <w:tcW w:w="0" w:type="auto"/>
            <w:shd w:val="clear" w:color="auto" w:fill="auto"/>
            <w:vAlign w:val="bottom"/>
          </w:tcPr>
          <w:p w14:paraId="74414DB2"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8.66%</w:t>
            </w:r>
          </w:p>
        </w:tc>
      </w:tr>
      <w:tr w:rsidR="0039494B" w:rsidRPr="00631A41" w14:paraId="1CD6F3DC" w14:textId="77777777" w:rsidTr="0039494B">
        <w:trPr>
          <w:trHeight w:val="340"/>
        </w:trPr>
        <w:tc>
          <w:tcPr>
            <w:tcW w:w="6947" w:type="dxa"/>
            <w:shd w:val="clear" w:color="auto" w:fill="auto"/>
            <w:vAlign w:val="center"/>
          </w:tcPr>
          <w:p w14:paraId="0C6F3C96" w14:textId="77777777" w:rsidR="0039494B" w:rsidRPr="00EC18A6" w:rsidRDefault="0039494B" w:rsidP="00D13C50">
            <w:pPr>
              <w:rPr>
                <w:b/>
                <w:bCs/>
                <w:sz w:val="20"/>
                <w:szCs w:val="20"/>
              </w:rPr>
            </w:pPr>
            <w:r w:rsidRPr="00EC18A6">
              <w:rPr>
                <w:b/>
                <w:bCs/>
                <w:sz w:val="20"/>
                <w:szCs w:val="20"/>
              </w:rPr>
              <w:t>J: Information and communication</w:t>
            </w:r>
          </w:p>
        </w:tc>
        <w:tc>
          <w:tcPr>
            <w:tcW w:w="0" w:type="auto"/>
            <w:shd w:val="clear" w:color="auto" w:fill="auto"/>
            <w:vAlign w:val="bottom"/>
          </w:tcPr>
          <w:p w14:paraId="15787439" w14:textId="77777777" w:rsidR="0039494B" w:rsidRPr="00EC18A6" w:rsidRDefault="0039494B" w:rsidP="00D13C50">
            <w:pPr>
              <w:jc w:val="center"/>
              <w:rPr>
                <w:sz w:val="20"/>
                <w:szCs w:val="20"/>
              </w:rPr>
            </w:pPr>
            <w:r w:rsidRPr="00EC18A6">
              <w:rPr>
                <w:sz w:val="20"/>
                <w:szCs w:val="20"/>
              </w:rPr>
              <w:t>2,500</w:t>
            </w:r>
          </w:p>
        </w:tc>
        <w:tc>
          <w:tcPr>
            <w:tcW w:w="0" w:type="auto"/>
            <w:shd w:val="clear" w:color="auto" w:fill="auto"/>
            <w:vAlign w:val="bottom"/>
          </w:tcPr>
          <w:p w14:paraId="490F658E"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3.61%</w:t>
            </w:r>
          </w:p>
        </w:tc>
      </w:tr>
      <w:tr w:rsidR="0039494B" w:rsidRPr="00631A41" w14:paraId="20432DF0" w14:textId="77777777" w:rsidTr="0039494B">
        <w:trPr>
          <w:trHeight w:val="340"/>
        </w:trPr>
        <w:tc>
          <w:tcPr>
            <w:tcW w:w="6947" w:type="dxa"/>
            <w:shd w:val="clear" w:color="auto" w:fill="auto"/>
            <w:vAlign w:val="center"/>
          </w:tcPr>
          <w:p w14:paraId="7D55F7CA" w14:textId="77777777" w:rsidR="0039494B" w:rsidRPr="00EC18A6" w:rsidRDefault="0039494B" w:rsidP="00D13C50">
            <w:pPr>
              <w:rPr>
                <w:b/>
                <w:bCs/>
                <w:sz w:val="20"/>
                <w:szCs w:val="20"/>
              </w:rPr>
            </w:pPr>
            <w:r w:rsidRPr="00EC18A6">
              <w:rPr>
                <w:b/>
                <w:bCs/>
                <w:sz w:val="20"/>
                <w:szCs w:val="20"/>
              </w:rPr>
              <w:t>K: Financial and insurance</w:t>
            </w:r>
          </w:p>
        </w:tc>
        <w:tc>
          <w:tcPr>
            <w:tcW w:w="0" w:type="auto"/>
            <w:shd w:val="clear" w:color="auto" w:fill="auto"/>
            <w:vAlign w:val="bottom"/>
          </w:tcPr>
          <w:p w14:paraId="6DC8F5EE" w14:textId="77777777" w:rsidR="0039494B" w:rsidRPr="00EC18A6" w:rsidRDefault="0039494B" w:rsidP="00D13C50">
            <w:pPr>
              <w:jc w:val="center"/>
              <w:rPr>
                <w:sz w:val="20"/>
                <w:szCs w:val="20"/>
              </w:rPr>
            </w:pPr>
            <w:r w:rsidRPr="00EC18A6">
              <w:rPr>
                <w:sz w:val="20"/>
                <w:szCs w:val="20"/>
              </w:rPr>
              <w:t>3,000</w:t>
            </w:r>
          </w:p>
        </w:tc>
        <w:tc>
          <w:tcPr>
            <w:tcW w:w="0" w:type="auto"/>
            <w:shd w:val="clear" w:color="auto" w:fill="auto"/>
            <w:vAlign w:val="bottom"/>
          </w:tcPr>
          <w:p w14:paraId="518FA452"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4.33%</w:t>
            </w:r>
          </w:p>
        </w:tc>
      </w:tr>
      <w:tr w:rsidR="0039494B" w:rsidRPr="00631A41" w14:paraId="2738B5E5" w14:textId="77777777" w:rsidTr="0039494B">
        <w:trPr>
          <w:trHeight w:val="340"/>
        </w:trPr>
        <w:tc>
          <w:tcPr>
            <w:tcW w:w="6947" w:type="dxa"/>
            <w:shd w:val="clear" w:color="auto" w:fill="auto"/>
            <w:vAlign w:val="center"/>
          </w:tcPr>
          <w:p w14:paraId="4C461BF1" w14:textId="77777777" w:rsidR="0039494B" w:rsidRPr="00EC18A6" w:rsidRDefault="0039494B" w:rsidP="00D13C50">
            <w:pPr>
              <w:rPr>
                <w:b/>
                <w:bCs/>
                <w:sz w:val="20"/>
                <w:szCs w:val="20"/>
              </w:rPr>
            </w:pPr>
            <w:r w:rsidRPr="00EC18A6">
              <w:rPr>
                <w:b/>
                <w:bCs/>
                <w:sz w:val="20"/>
                <w:szCs w:val="20"/>
              </w:rPr>
              <w:t>L: Real estate</w:t>
            </w:r>
          </w:p>
        </w:tc>
        <w:tc>
          <w:tcPr>
            <w:tcW w:w="0" w:type="auto"/>
            <w:shd w:val="clear" w:color="auto" w:fill="auto"/>
            <w:vAlign w:val="bottom"/>
          </w:tcPr>
          <w:p w14:paraId="301B9F9E" w14:textId="77777777" w:rsidR="0039494B" w:rsidRPr="00EC18A6" w:rsidRDefault="0039494B" w:rsidP="00D13C50">
            <w:pPr>
              <w:jc w:val="center"/>
              <w:rPr>
                <w:sz w:val="20"/>
                <w:szCs w:val="20"/>
              </w:rPr>
            </w:pPr>
            <w:r w:rsidRPr="00EC18A6">
              <w:rPr>
                <w:sz w:val="20"/>
                <w:szCs w:val="20"/>
              </w:rPr>
              <w:t>1,250</w:t>
            </w:r>
          </w:p>
        </w:tc>
        <w:tc>
          <w:tcPr>
            <w:tcW w:w="0" w:type="auto"/>
            <w:shd w:val="clear" w:color="auto" w:fill="auto"/>
            <w:vAlign w:val="bottom"/>
          </w:tcPr>
          <w:p w14:paraId="2EC7460B"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1.80%</w:t>
            </w:r>
          </w:p>
        </w:tc>
      </w:tr>
      <w:tr w:rsidR="0039494B" w:rsidRPr="00631A41" w14:paraId="74CC11D6" w14:textId="77777777" w:rsidTr="0039494B">
        <w:trPr>
          <w:trHeight w:val="340"/>
        </w:trPr>
        <w:tc>
          <w:tcPr>
            <w:tcW w:w="6947" w:type="dxa"/>
            <w:shd w:val="clear" w:color="auto" w:fill="auto"/>
            <w:vAlign w:val="center"/>
          </w:tcPr>
          <w:p w14:paraId="45A6CB70" w14:textId="77777777" w:rsidR="0039494B" w:rsidRPr="00EC18A6" w:rsidRDefault="0039494B" w:rsidP="00D13C50">
            <w:pPr>
              <w:rPr>
                <w:b/>
                <w:bCs/>
                <w:sz w:val="20"/>
                <w:szCs w:val="20"/>
              </w:rPr>
            </w:pPr>
            <w:r w:rsidRPr="00EC18A6">
              <w:rPr>
                <w:b/>
                <w:bCs/>
                <w:sz w:val="20"/>
                <w:szCs w:val="20"/>
              </w:rPr>
              <w:t>M: Professional, scientific and technical</w:t>
            </w:r>
          </w:p>
        </w:tc>
        <w:tc>
          <w:tcPr>
            <w:tcW w:w="0" w:type="auto"/>
            <w:shd w:val="clear" w:color="auto" w:fill="auto"/>
            <w:vAlign w:val="bottom"/>
          </w:tcPr>
          <w:p w14:paraId="6AC1CF8D" w14:textId="77777777" w:rsidR="0039494B" w:rsidRPr="00EC18A6" w:rsidRDefault="0039494B" w:rsidP="00D13C50">
            <w:pPr>
              <w:jc w:val="center"/>
              <w:rPr>
                <w:sz w:val="20"/>
                <w:szCs w:val="20"/>
              </w:rPr>
            </w:pPr>
            <w:r w:rsidRPr="00EC18A6">
              <w:rPr>
                <w:sz w:val="20"/>
                <w:szCs w:val="20"/>
              </w:rPr>
              <w:t>6,000</w:t>
            </w:r>
          </w:p>
        </w:tc>
        <w:tc>
          <w:tcPr>
            <w:tcW w:w="0" w:type="auto"/>
            <w:shd w:val="clear" w:color="auto" w:fill="auto"/>
            <w:vAlign w:val="bottom"/>
          </w:tcPr>
          <w:p w14:paraId="284443B8"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8.66%</w:t>
            </w:r>
          </w:p>
        </w:tc>
      </w:tr>
      <w:tr w:rsidR="0039494B" w:rsidRPr="00631A41" w14:paraId="2CFA6ACA" w14:textId="77777777" w:rsidTr="0039494B">
        <w:trPr>
          <w:trHeight w:val="340"/>
        </w:trPr>
        <w:tc>
          <w:tcPr>
            <w:tcW w:w="6947" w:type="dxa"/>
            <w:shd w:val="clear" w:color="auto" w:fill="auto"/>
            <w:vAlign w:val="center"/>
          </w:tcPr>
          <w:p w14:paraId="53D52C83" w14:textId="77777777" w:rsidR="0039494B" w:rsidRPr="00EC18A6" w:rsidRDefault="0039494B" w:rsidP="00D13C50">
            <w:pPr>
              <w:rPr>
                <w:b/>
                <w:bCs/>
                <w:sz w:val="20"/>
                <w:szCs w:val="20"/>
              </w:rPr>
            </w:pPr>
            <w:r w:rsidRPr="00EC18A6">
              <w:rPr>
                <w:b/>
                <w:bCs/>
                <w:sz w:val="20"/>
                <w:szCs w:val="20"/>
              </w:rPr>
              <w:t>N: Administrative and support services</w:t>
            </w:r>
          </w:p>
        </w:tc>
        <w:tc>
          <w:tcPr>
            <w:tcW w:w="0" w:type="auto"/>
            <w:shd w:val="clear" w:color="auto" w:fill="auto"/>
            <w:vAlign w:val="bottom"/>
          </w:tcPr>
          <w:p w14:paraId="0EEBDE57" w14:textId="77777777" w:rsidR="0039494B" w:rsidRPr="00EC18A6" w:rsidRDefault="0039494B" w:rsidP="00D13C50">
            <w:pPr>
              <w:jc w:val="center"/>
              <w:rPr>
                <w:sz w:val="20"/>
                <w:szCs w:val="20"/>
              </w:rPr>
            </w:pPr>
            <w:r w:rsidRPr="00EC18A6">
              <w:rPr>
                <w:sz w:val="20"/>
                <w:szCs w:val="20"/>
              </w:rPr>
              <w:t>4,000</w:t>
            </w:r>
          </w:p>
        </w:tc>
        <w:tc>
          <w:tcPr>
            <w:tcW w:w="0" w:type="auto"/>
            <w:shd w:val="clear" w:color="auto" w:fill="auto"/>
            <w:vAlign w:val="bottom"/>
          </w:tcPr>
          <w:p w14:paraId="09BD6BB4"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5.77%</w:t>
            </w:r>
          </w:p>
        </w:tc>
      </w:tr>
      <w:tr w:rsidR="0039494B" w:rsidRPr="00631A41" w14:paraId="3CD0163D" w14:textId="77777777" w:rsidTr="0039494B">
        <w:trPr>
          <w:trHeight w:val="340"/>
        </w:trPr>
        <w:tc>
          <w:tcPr>
            <w:tcW w:w="6947" w:type="dxa"/>
            <w:shd w:val="clear" w:color="auto" w:fill="auto"/>
            <w:vAlign w:val="center"/>
          </w:tcPr>
          <w:p w14:paraId="1DDF9A55" w14:textId="77777777" w:rsidR="0039494B" w:rsidRPr="00EC18A6" w:rsidRDefault="0039494B" w:rsidP="00D13C50">
            <w:pPr>
              <w:rPr>
                <w:b/>
                <w:bCs/>
                <w:sz w:val="20"/>
                <w:szCs w:val="20"/>
              </w:rPr>
            </w:pPr>
            <w:r w:rsidRPr="00EC18A6">
              <w:rPr>
                <w:b/>
                <w:bCs/>
                <w:sz w:val="20"/>
                <w:szCs w:val="20"/>
              </w:rPr>
              <w:t>O: Public administration and defence</w:t>
            </w:r>
          </w:p>
        </w:tc>
        <w:tc>
          <w:tcPr>
            <w:tcW w:w="0" w:type="auto"/>
            <w:shd w:val="clear" w:color="auto" w:fill="auto"/>
            <w:vAlign w:val="bottom"/>
          </w:tcPr>
          <w:p w14:paraId="000E1710" w14:textId="77777777" w:rsidR="0039494B" w:rsidRPr="00EC18A6" w:rsidRDefault="0039494B" w:rsidP="00D13C50">
            <w:pPr>
              <w:jc w:val="center"/>
              <w:rPr>
                <w:sz w:val="20"/>
                <w:szCs w:val="20"/>
              </w:rPr>
            </w:pPr>
            <w:r w:rsidRPr="00EC18A6">
              <w:rPr>
                <w:sz w:val="20"/>
                <w:szCs w:val="20"/>
              </w:rPr>
              <w:t>1,000</w:t>
            </w:r>
          </w:p>
        </w:tc>
        <w:tc>
          <w:tcPr>
            <w:tcW w:w="0" w:type="auto"/>
            <w:shd w:val="clear" w:color="auto" w:fill="auto"/>
            <w:vAlign w:val="bottom"/>
          </w:tcPr>
          <w:p w14:paraId="37977749"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1.44%</w:t>
            </w:r>
          </w:p>
        </w:tc>
      </w:tr>
      <w:tr w:rsidR="0039494B" w:rsidRPr="00631A41" w14:paraId="0F543965" w14:textId="77777777" w:rsidTr="0039494B">
        <w:trPr>
          <w:trHeight w:val="340"/>
        </w:trPr>
        <w:tc>
          <w:tcPr>
            <w:tcW w:w="6947" w:type="dxa"/>
            <w:shd w:val="clear" w:color="auto" w:fill="auto"/>
            <w:vAlign w:val="center"/>
          </w:tcPr>
          <w:p w14:paraId="15F2019F" w14:textId="77777777" w:rsidR="0039494B" w:rsidRPr="00EC18A6" w:rsidRDefault="0039494B" w:rsidP="00D13C50">
            <w:pPr>
              <w:rPr>
                <w:b/>
                <w:bCs/>
                <w:sz w:val="20"/>
                <w:szCs w:val="20"/>
              </w:rPr>
            </w:pPr>
            <w:r w:rsidRPr="00EC18A6">
              <w:rPr>
                <w:b/>
                <w:bCs/>
                <w:sz w:val="20"/>
                <w:szCs w:val="20"/>
              </w:rPr>
              <w:t>P: Education</w:t>
            </w:r>
          </w:p>
        </w:tc>
        <w:tc>
          <w:tcPr>
            <w:tcW w:w="0" w:type="auto"/>
            <w:shd w:val="clear" w:color="auto" w:fill="auto"/>
            <w:vAlign w:val="bottom"/>
          </w:tcPr>
          <w:p w14:paraId="7C22A6CE" w14:textId="77777777" w:rsidR="0039494B" w:rsidRPr="00EC18A6" w:rsidRDefault="0039494B" w:rsidP="00D13C50">
            <w:pPr>
              <w:jc w:val="center"/>
              <w:rPr>
                <w:sz w:val="20"/>
                <w:szCs w:val="20"/>
              </w:rPr>
            </w:pPr>
            <w:r w:rsidRPr="00EC18A6">
              <w:rPr>
                <w:sz w:val="20"/>
                <w:szCs w:val="20"/>
              </w:rPr>
              <w:t>4,500</w:t>
            </w:r>
          </w:p>
        </w:tc>
        <w:tc>
          <w:tcPr>
            <w:tcW w:w="0" w:type="auto"/>
            <w:shd w:val="clear" w:color="auto" w:fill="auto"/>
            <w:vAlign w:val="bottom"/>
          </w:tcPr>
          <w:p w14:paraId="586631C0"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6.50%</w:t>
            </w:r>
          </w:p>
        </w:tc>
      </w:tr>
      <w:tr w:rsidR="0039494B" w:rsidRPr="00631A41" w14:paraId="766DE426" w14:textId="77777777" w:rsidTr="0039494B">
        <w:trPr>
          <w:trHeight w:val="340"/>
        </w:trPr>
        <w:tc>
          <w:tcPr>
            <w:tcW w:w="6947" w:type="dxa"/>
            <w:shd w:val="clear" w:color="auto" w:fill="auto"/>
            <w:vAlign w:val="center"/>
          </w:tcPr>
          <w:p w14:paraId="2D2A8B9E" w14:textId="77777777" w:rsidR="0039494B" w:rsidRPr="00EC18A6" w:rsidRDefault="0039494B" w:rsidP="00D13C50">
            <w:pPr>
              <w:rPr>
                <w:b/>
                <w:bCs/>
                <w:sz w:val="20"/>
                <w:szCs w:val="20"/>
              </w:rPr>
            </w:pPr>
            <w:r w:rsidRPr="00EC18A6">
              <w:rPr>
                <w:b/>
                <w:bCs/>
                <w:sz w:val="20"/>
                <w:szCs w:val="20"/>
              </w:rPr>
              <w:t>Q: Health and social work</w:t>
            </w:r>
          </w:p>
        </w:tc>
        <w:tc>
          <w:tcPr>
            <w:tcW w:w="0" w:type="auto"/>
            <w:shd w:val="clear" w:color="auto" w:fill="auto"/>
            <w:vAlign w:val="bottom"/>
          </w:tcPr>
          <w:p w14:paraId="40F66CA8" w14:textId="77777777" w:rsidR="0039494B" w:rsidRPr="00EC18A6" w:rsidRDefault="0039494B" w:rsidP="00D13C50">
            <w:pPr>
              <w:jc w:val="center"/>
              <w:rPr>
                <w:sz w:val="20"/>
                <w:szCs w:val="20"/>
              </w:rPr>
            </w:pPr>
            <w:r w:rsidRPr="00EC18A6">
              <w:rPr>
                <w:sz w:val="20"/>
                <w:szCs w:val="20"/>
              </w:rPr>
              <w:t>7,000</w:t>
            </w:r>
          </w:p>
        </w:tc>
        <w:tc>
          <w:tcPr>
            <w:tcW w:w="0" w:type="auto"/>
            <w:shd w:val="clear" w:color="auto" w:fill="auto"/>
            <w:vAlign w:val="bottom"/>
          </w:tcPr>
          <w:p w14:paraId="48B3462B"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10.10%</w:t>
            </w:r>
          </w:p>
        </w:tc>
      </w:tr>
      <w:tr w:rsidR="0039494B" w:rsidRPr="00631A41" w14:paraId="7EE3B00D" w14:textId="77777777" w:rsidTr="0039494B">
        <w:trPr>
          <w:trHeight w:val="340"/>
        </w:trPr>
        <w:tc>
          <w:tcPr>
            <w:tcW w:w="6947" w:type="dxa"/>
            <w:shd w:val="clear" w:color="auto" w:fill="auto"/>
            <w:vAlign w:val="center"/>
          </w:tcPr>
          <w:p w14:paraId="70D68AE0" w14:textId="77777777" w:rsidR="0039494B" w:rsidRPr="00EC18A6" w:rsidRDefault="0039494B" w:rsidP="00D13C50">
            <w:pPr>
              <w:rPr>
                <w:b/>
                <w:bCs/>
                <w:sz w:val="20"/>
                <w:szCs w:val="20"/>
              </w:rPr>
            </w:pPr>
            <w:r w:rsidRPr="00EC18A6">
              <w:rPr>
                <w:b/>
                <w:bCs/>
                <w:sz w:val="20"/>
                <w:szCs w:val="20"/>
              </w:rPr>
              <w:t>R: Arts, entertainment and other recreation</w:t>
            </w:r>
          </w:p>
        </w:tc>
        <w:tc>
          <w:tcPr>
            <w:tcW w:w="0" w:type="auto"/>
            <w:shd w:val="clear" w:color="auto" w:fill="auto"/>
            <w:vAlign w:val="bottom"/>
          </w:tcPr>
          <w:p w14:paraId="0518A6C5" w14:textId="77777777" w:rsidR="0039494B" w:rsidRPr="00EC18A6" w:rsidRDefault="0039494B" w:rsidP="00D13C50">
            <w:pPr>
              <w:jc w:val="center"/>
              <w:rPr>
                <w:sz w:val="20"/>
                <w:szCs w:val="20"/>
              </w:rPr>
            </w:pPr>
            <w:r w:rsidRPr="00EC18A6">
              <w:rPr>
                <w:sz w:val="20"/>
                <w:szCs w:val="20"/>
              </w:rPr>
              <w:t>1,750</w:t>
            </w:r>
          </w:p>
        </w:tc>
        <w:tc>
          <w:tcPr>
            <w:tcW w:w="0" w:type="auto"/>
            <w:shd w:val="clear" w:color="auto" w:fill="auto"/>
            <w:vAlign w:val="bottom"/>
          </w:tcPr>
          <w:p w14:paraId="1DC27D14"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2.53%</w:t>
            </w:r>
          </w:p>
        </w:tc>
      </w:tr>
      <w:tr w:rsidR="0039494B" w:rsidRPr="00631A41" w14:paraId="6CD7AC17" w14:textId="77777777" w:rsidTr="0039494B">
        <w:trPr>
          <w:trHeight w:val="340"/>
        </w:trPr>
        <w:tc>
          <w:tcPr>
            <w:tcW w:w="6947" w:type="dxa"/>
            <w:shd w:val="clear" w:color="auto" w:fill="auto"/>
            <w:vAlign w:val="center"/>
          </w:tcPr>
          <w:p w14:paraId="7FE5CBD8" w14:textId="77777777" w:rsidR="0039494B" w:rsidRPr="00EC18A6" w:rsidRDefault="0039494B" w:rsidP="00D13C50">
            <w:pPr>
              <w:rPr>
                <w:b/>
                <w:bCs/>
                <w:sz w:val="20"/>
                <w:szCs w:val="20"/>
              </w:rPr>
            </w:pPr>
            <w:r w:rsidRPr="00EC18A6">
              <w:rPr>
                <w:b/>
                <w:bCs/>
                <w:sz w:val="20"/>
                <w:szCs w:val="20"/>
              </w:rPr>
              <w:t>S: Other services</w:t>
            </w:r>
          </w:p>
        </w:tc>
        <w:tc>
          <w:tcPr>
            <w:tcW w:w="0" w:type="auto"/>
            <w:shd w:val="clear" w:color="auto" w:fill="auto"/>
            <w:vAlign w:val="bottom"/>
          </w:tcPr>
          <w:p w14:paraId="0AC39D8B" w14:textId="77777777" w:rsidR="0039494B" w:rsidRPr="00EC18A6" w:rsidRDefault="0039494B" w:rsidP="00D13C50">
            <w:pPr>
              <w:jc w:val="center"/>
              <w:rPr>
                <w:sz w:val="20"/>
                <w:szCs w:val="20"/>
              </w:rPr>
            </w:pPr>
            <w:r w:rsidRPr="00EC18A6">
              <w:rPr>
                <w:sz w:val="20"/>
                <w:szCs w:val="20"/>
              </w:rPr>
              <w:t>1,750</w:t>
            </w:r>
          </w:p>
        </w:tc>
        <w:tc>
          <w:tcPr>
            <w:tcW w:w="0" w:type="auto"/>
            <w:shd w:val="clear" w:color="auto" w:fill="auto"/>
            <w:vAlign w:val="bottom"/>
          </w:tcPr>
          <w:p w14:paraId="0D7F89A2" w14:textId="77777777" w:rsidR="0039494B" w:rsidRPr="00EC18A6" w:rsidRDefault="0039494B" w:rsidP="00D13C50">
            <w:pPr>
              <w:jc w:val="center"/>
              <w:rPr>
                <w:rFonts w:cstheme="majorHAnsi"/>
                <w:i/>
                <w:iCs/>
                <w:sz w:val="18"/>
                <w:szCs w:val="18"/>
              </w:rPr>
            </w:pPr>
            <w:r w:rsidRPr="00EC18A6">
              <w:rPr>
                <w:rFonts w:cstheme="majorHAnsi"/>
                <w:i/>
                <w:iCs/>
                <w:color w:val="000000"/>
                <w:sz w:val="18"/>
                <w:szCs w:val="18"/>
              </w:rPr>
              <w:t>2.53%</w:t>
            </w:r>
          </w:p>
        </w:tc>
      </w:tr>
    </w:tbl>
    <w:p w14:paraId="28F1E4AB" w14:textId="77777777" w:rsidR="00681668" w:rsidRPr="000C2EB7" w:rsidRDefault="00681668" w:rsidP="00681668">
      <w:pPr>
        <w:pStyle w:val="ListParagraph"/>
        <w:ind w:left="360" w:firstLine="0"/>
        <w:jc w:val="left"/>
        <w:rPr>
          <w:b/>
          <w:color w:val="FF0000"/>
          <w:sz w:val="22"/>
          <w:szCs w:val="22"/>
        </w:rPr>
      </w:pPr>
    </w:p>
    <w:p w14:paraId="3A1D7C62" w14:textId="09A1CB7F" w:rsidR="00681668" w:rsidRPr="00610EF3" w:rsidRDefault="00812E7D" w:rsidP="00610EF3">
      <w:pPr>
        <w:pStyle w:val="ListParagraph"/>
        <w:numPr>
          <w:ilvl w:val="3"/>
          <w:numId w:val="20"/>
        </w:numPr>
        <w:ind w:left="709" w:right="421" w:hanging="709"/>
        <w:contextualSpacing w:val="0"/>
        <w:jc w:val="left"/>
        <w:rPr>
          <w:sz w:val="22"/>
          <w:szCs w:val="22"/>
        </w:rPr>
      </w:pPr>
      <w:r w:rsidRPr="00CA5FA2">
        <w:rPr>
          <w:sz w:val="22"/>
          <w:szCs w:val="22"/>
        </w:rPr>
        <w:t>Tourism</w:t>
      </w:r>
      <w:r w:rsidR="00BD5F1C" w:rsidRPr="00CA5FA2">
        <w:rPr>
          <w:sz w:val="22"/>
          <w:szCs w:val="22"/>
        </w:rPr>
        <w:t>-</w:t>
      </w:r>
      <w:r w:rsidRPr="00CA5FA2">
        <w:rPr>
          <w:sz w:val="22"/>
          <w:szCs w:val="22"/>
        </w:rPr>
        <w:t xml:space="preserve">related jobs are an important part of the </w:t>
      </w:r>
      <w:r w:rsidR="001D61F1" w:rsidRPr="00CA5FA2">
        <w:rPr>
          <w:sz w:val="22"/>
          <w:szCs w:val="22"/>
        </w:rPr>
        <w:t>District</w:t>
      </w:r>
      <w:r w:rsidRPr="00CA5FA2">
        <w:rPr>
          <w:sz w:val="22"/>
          <w:szCs w:val="22"/>
        </w:rPr>
        <w:t xml:space="preserve"> services sector.  According to the 20</w:t>
      </w:r>
      <w:r w:rsidR="0039494B" w:rsidRPr="00CA5FA2">
        <w:rPr>
          <w:sz w:val="22"/>
          <w:szCs w:val="22"/>
        </w:rPr>
        <w:t>21</w:t>
      </w:r>
      <w:r w:rsidRPr="00CA5FA2">
        <w:rPr>
          <w:sz w:val="22"/>
          <w:szCs w:val="22"/>
        </w:rPr>
        <w:t xml:space="preserve"> Tourism Economic Impact Assessment, there were </w:t>
      </w:r>
      <w:r w:rsidR="00AE3F60">
        <w:rPr>
          <w:sz w:val="22"/>
          <w:szCs w:val="22"/>
        </w:rPr>
        <w:t>6.628</w:t>
      </w:r>
      <w:r w:rsidRPr="00CA5FA2">
        <w:rPr>
          <w:sz w:val="22"/>
          <w:szCs w:val="22"/>
        </w:rPr>
        <w:t xml:space="preserve"> tourism-related jobs in the </w:t>
      </w:r>
      <w:r w:rsidR="001D61F1" w:rsidRPr="00CA5FA2">
        <w:rPr>
          <w:sz w:val="22"/>
          <w:szCs w:val="22"/>
        </w:rPr>
        <w:t>District</w:t>
      </w:r>
      <w:r w:rsidRPr="00CA5FA2">
        <w:rPr>
          <w:sz w:val="22"/>
          <w:szCs w:val="22"/>
        </w:rPr>
        <w:t xml:space="preserve">, equating to </w:t>
      </w:r>
      <w:r w:rsidR="00AE3F60">
        <w:rPr>
          <w:sz w:val="22"/>
          <w:szCs w:val="22"/>
        </w:rPr>
        <w:t>4,826</w:t>
      </w:r>
      <w:r w:rsidRPr="00CA5FA2">
        <w:rPr>
          <w:sz w:val="22"/>
          <w:szCs w:val="22"/>
        </w:rPr>
        <w:t xml:space="preserve"> full-time jobs. </w:t>
      </w:r>
      <w:r w:rsidR="002A4D96" w:rsidRPr="00CA5FA2">
        <w:rPr>
          <w:sz w:val="22"/>
          <w:szCs w:val="22"/>
        </w:rPr>
        <w:t xml:space="preserve">This is much lower than previous years’ figures and is a direct result of the Covid-19 pandemic which had a devastating impact on the tourism industry within the district. </w:t>
      </w:r>
      <w:r w:rsidRPr="00CA5FA2">
        <w:rPr>
          <w:sz w:val="22"/>
          <w:szCs w:val="22"/>
        </w:rPr>
        <w:t xml:space="preserve">This equates to </w:t>
      </w:r>
      <w:r w:rsidR="00AE3F60">
        <w:rPr>
          <w:sz w:val="22"/>
          <w:szCs w:val="22"/>
        </w:rPr>
        <w:t>11.5</w:t>
      </w:r>
      <w:r w:rsidRPr="00CA5FA2">
        <w:rPr>
          <w:sz w:val="22"/>
          <w:szCs w:val="22"/>
        </w:rPr>
        <w:t xml:space="preserve">% of all employment in the </w:t>
      </w:r>
      <w:r w:rsidR="001D61F1" w:rsidRPr="00CA5FA2">
        <w:rPr>
          <w:sz w:val="22"/>
          <w:szCs w:val="22"/>
        </w:rPr>
        <w:t>District</w:t>
      </w:r>
      <w:r w:rsidRPr="00CA5FA2">
        <w:rPr>
          <w:sz w:val="22"/>
          <w:szCs w:val="22"/>
        </w:rPr>
        <w:t>.</w:t>
      </w:r>
    </w:p>
    <w:p w14:paraId="469EA936" w14:textId="6CEC41F7" w:rsidR="00EE7A08" w:rsidRPr="00610EF3" w:rsidRDefault="00570586" w:rsidP="00610EF3">
      <w:pPr>
        <w:pStyle w:val="ListParagraph"/>
        <w:numPr>
          <w:ilvl w:val="0"/>
          <w:numId w:val="20"/>
        </w:numPr>
        <w:ind w:left="709" w:right="421" w:hanging="709"/>
        <w:contextualSpacing w:val="0"/>
        <w:jc w:val="left"/>
        <w:textAlignment w:val="baseline"/>
        <w:rPr>
          <w:b/>
          <w:sz w:val="22"/>
          <w:szCs w:val="22"/>
        </w:rPr>
      </w:pPr>
      <w:r w:rsidRPr="004F0639">
        <w:rPr>
          <w:rFonts w:eastAsia="Verdana"/>
          <w:b/>
          <w:bCs/>
          <w:kern w:val="24"/>
          <w:sz w:val="22"/>
          <w:szCs w:val="22"/>
        </w:rPr>
        <w:t>Business</w:t>
      </w:r>
      <w:r w:rsidR="006F08A6" w:rsidRPr="004F0639">
        <w:rPr>
          <w:rFonts w:eastAsia="Verdana"/>
          <w:b/>
          <w:bCs/>
          <w:kern w:val="24"/>
          <w:sz w:val="22"/>
          <w:szCs w:val="22"/>
        </w:rPr>
        <w:t xml:space="preserve"> </w:t>
      </w:r>
      <w:r w:rsidR="00EE7A08" w:rsidRPr="004F0639">
        <w:rPr>
          <w:rFonts w:eastAsia="Verdana"/>
          <w:b/>
          <w:bCs/>
          <w:kern w:val="24"/>
          <w:sz w:val="22"/>
          <w:szCs w:val="22"/>
        </w:rPr>
        <w:t>and Economy</w:t>
      </w:r>
    </w:p>
    <w:p w14:paraId="66DF139E" w14:textId="6D6054FF" w:rsidR="00E07881" w:rsidRPr="00E55171" w:rsidRDefault="00CA5FA2" w:rsidP="00610EF3">
      <w:pPr>
        <w:pStyle w:val="ListParagraph"/>
        <w:numPr>
          <w:ilvl w:val="1"/>
          <w:numId w:val="20"/>
        </w:numPr>
        <w:ind w:right="421"/>
        <w:contextualSpacing w:val="0"/>
        <w:jc w:val="left"/>
        <w:textAlignment w:val="baseline"/>
        <w:rPr>
          <w:rFonts w:eastAsia="Verdana"/>
          <w:b/>
          <w:bCs/>
          <w:i/>
          <w:iCs/>
          <w:sz w:val="22"/>
          <w:szCs w:val="22"/>
        </w:rPr>
      </w:pPr>
      <w:r w:rsidRPr="00E55171">
        <w:rPr>
          <w:rFonts w:eastAsia="Verdana"/>
          <w:b/>
          <w:bCs/>
          <w:i/>
          <w:iCs/>
          <w:sz w:val="22"/>
          <w:szCs w:val="22"/>
        </w:rPr>
        <w:t>Productivity: Gross Value Added (GVA)</w:t>
      </w:r>
    </w:p>
    <w:p w14:paraId="6CF54239" w14:textId="008CE6D6" w:rsidR="00E94700" w:rsidRPr="00610EF3" w:rsidRDefault="005B4BF9" w:rsidP="00610EF3">
      <w:pPr>
        <w:pStyle w:val="ListParagraph"/>
        <w:numPr>
          <w:ilvl w:val="3"/>
          <w:numId w:val="20"/>
        </w:numPr>
        <w:ind w:left="709" w:right="421" w:hanging="709"/>
        <w:contextualSpacing w:val="0"/>
        <w:jc w:val="left"/>
        <w:textAlignment w:val="baseline"/>
        <w:rPr>
          <w:rFonts w:eastAsia="Verdana"/>
          <w:sz w:val="22"/>
          <w:szCs w:val="22"/>
        </w:rPr>
      </w:pPr>
      <w:r w:rsidRPr="00C87CA1">
        <w:rPr>
          <w:rFonts w:eastAsia="Verdana"/>
          <w:sz w:val="22"/>
          <w:szCs w:val="22"/>
        </w:rPr>
        <w:t>Table 9 shows the breakdown of £GVA by industry sector and per job</w:t>
      </w:r>
      <w:r w:rsidR="00FD25D8">
        <w:rPr>
          <w:rStyle w:val="EndnoteReference"/>
          <w:rFonts w:eastAsia="Verdana"/>
          <w:sz w:val="22"/>
          <w:szCs w:val="22"/>
        </w:rPr>
        <w:endnoteReference w:id="29"/>
      </w:r>
      <w:r w:rsidR="00D951E8" w:rsidRPr="00C87CA1">
        <w:rPr>
          <w:rFonts w:eastAsia="Verdana"/>
          <w:sz w:val="22"/>
          <w:szCs w:val="22"/>
        </w:rPr>
        <w:t xml:space="preserve">. </w:t>
      </w:r>
      <w:r w:rsidR="00A3555E" w:rsidRPr="00C87CA1">
        <w:rPr>
          <w:rFonts w:eastAsia="Verdana"/>
          <w:sz w:val="22"/>
          <w:szCs w:val="22"/>
        </w:rPr>
        <w:t>Manufacturing accounts for over a third of all £GVA</w:t>
      </w:r>
      <w:r w:rsidR="009E0539" w:rsidRPr="00C87CA1">
        <w:rPr>
          <w:rFonts w:eastAsia="Verdana"/>
          <w:sz w:val="22"/>
          <w:szCs w:val="22"/>
        </w:rPr>
        <w:t xml:space="preserve"> in the district – amounting to £1,499,000,000. </w:t>
      </w:r>
      <w:r w:rsidR="00E07881" w:rsidRPr="00C87CA1">
        <w:rPr>
          <w:rFonts w:eastAsia="Verdana"/>
          <w:sz w:val="22"/>
          <w:szCs w:val="22"/>
        </w:rPr>
        <w:t>Along with Real Estate, the two sectors account for half of all GVA within the district.</w:t>
      </w:r>
      <w:r w:rsidR="009E0539" w:rsidRPr="00C87CA1">
        <w:rPr>
          <w:rFonts w:eastAsia="Verdana"/>
          <w:sz w:val="22"/>
          <w:szCs w:val="22"/>
        </w:rPr>
        <w:t xml:space="preserve"> </w:t>
      </w:r>
      <w:r w:rsidR="0091494D" w:rsidRPr="00C87CA1">
        <w:rPr>
          <w:rFonts w:eastAsia="Verdana"/>
          <w:sz w:val="22"/>
          <w:szCs w:val="22"/>
        </w:rPr>
        <w:t>This reliance on two sectors</w:t>
      </w:r>
      <w:r w:rsidR="005C1AAA" w:rsidRPr="00C87CA1">
        <w:rPr>
          <w:rFonts w:eastAsia="Verdana"/>
          <w:sz w:val="22"/>
          <w:szCs w:val="22"/>
        </w:rPr>
        <w:t xml:space="preserve"> </w:t>
      </w:r>
      <w:r w:rsidR="004C62CC" w:rsidRPr="00C87CA1">
        <w:rPr>
          <w:rFonts w:eastAsia="Verdana"/>
          <w:sz w:val="22"/>
          <w:szCs w:val="22"/>
        </w:rPr>
        <w:t>means that</w:t>
      </w:r>
      <w:r w:rsidR="005C1AAA" w:rsidRPr="00C87CA1">
        <w:rPr>
          <w:rFonts w:eastAsia="Verdana"/>
          <w:sz w:val="22"/>
          <w:szCs w:val="22"/>
        </w:rPr>
        <w:t xml:space="preserve"> the district</w:t>
      </w:r>
      <w:r w:rsidR="004C62CC" w:rsidRPr="00C87CA1">
        <w:rPr>
          <w:rFonts w:eastAsia="Verdana"/>
          <w:sz w:val="22"/>
          <w:szCs w:val="22"/>
        </w:rPr>
        <w:t>’s</w:t>
      </w:r>
      <w:r w:rsidR="005C1AAA" w:rsidRPr="00C87CA1">
        <w:rPr>
          <w:rFonts w:eastAsia="Verdana"/>
          <w:sz w:val="22"/>
          <w:szCs w:val="22"/>
        </w:rPr>
        <w:t xml:space="preserve"> economy </w:t>
      </w:r>
      <w:r w:rsidR="004C62CC" w:rsidRPr="00C87CA1">
        <w:rPr>
          <w:rFonts w:eastAsia="Verdana"/>
          <w:sz w:val="22"/>
          <w:szCs w:val="22"/>
        </w:rPr>
        <w:t xml:space="preserve">is </w:t>
      </w:r>
      <w:r w:rsidR="00C87CA1" w:rsidRPr="00C87CA1">
        <w:rPr>
          <w:rFonts w:eastAsia="Verdana"/>
          <w:sz w:val="22"/>
          <w:szCs w:val="22"/>
        </w:rPr>
        <w:t>less resilient</w:t>
      </w:r>
      <w:r w:rsidR="00131AC0" w:rsidRPr="00C87CA1">
        <w:rPr>
          <w:rFonts w:eastAsia="Verdana"/>
          <w:sz w:val="22"/>
          <w:szCs w:val="22"/>
        </w:rPr>
        <w:t xml:space="preserve"> and more open to threats than the </w:t>
      </w:r>
      <w:r w:rsidR="00C87CA1" w:rsidRPr="00C87CA1">
        <w:rPr>
          <w:rFonts w:eastAsia="Verdana"/>
          <w:sz w:val="22"/>
          <w:szCs w:val="22"/>
        </w:rPr>
        <w:t xml:space="preserve">more balanced </w:t>
      </w:r>
      <w:r w:rsidR="00131AC0" w:rsidRPr="00C87CA1">
        <w:rPr>
          <w:rFonts w:eastAsia="Verdana"/>
          <w:sz w:val="22"/>
          <w:szCs w:val="22"/>
        </w:rPr>
        <w:t>economies of districts such as Warwick</w:t>
      </w:r>
      <w:r w:rsidR="00C87CA1" w:rsidRPr="00C87CA1">
        <w:rPr>
          <w:rFonts w:eastAsia="Verdana"/>
          <w:sz w:val="22"/>
          <w:szCs w:val="22"/>
        </w:rPr>
        <w:t>.</w:t>
      </w:r>
    </w:p>
    <w:p w14:paraId="07A81B5B" w14:textId="77777777" w:rsidR="00F42A63" w:rsidRDefault="00F42A63" w:rsidP="00610EF3">
      <w:pPr>
        <w:pStyle w:val="Caption"/>
        <w:keepNext/>
        <w:spacing w:after="120"/>
        <w:ind w:hanging="11"/>
        <w:rPr>
          <w:i w:val="0"/>
          <w:iCs w:val="0"/>
          <w:color w:val="auto"/>
          <w:sz w:val="22"/>
          <w:szCs w:val="22"/>
        </w:rPr>
      </w:pPr>
    </w:p>
    <w:p w14:paraId="21F25878" w14:textId="77777777" w:rsidR="00F42A63" w:rsidRDefault="00F42A63" w:rsidP="00610EF3">
      <w:pPr>
        <w:pStyle w:val="Caption"/>
        <w:keepNext/>
        <w:spacing w:after="120"/>
        <w:ind w:hanging="11"/>
        <w:rPr>
          <w:i w:val="0"/>
          <w:iCs w:val="0"/>
          <w:color w:val="auto"/>
          <w:sz w:val="22"/>
          <w:szCs w:val="22"/>
        </w:rPr>
      </w:pPr>
    </w:p>
    <w:p w14:paraId="1249A4D6" w14:textId="77777777" w:rsidR="00F42A63" w:rsidRDefault="00F42A63">
      <w:pPr>
        <w:spacing w:after="0"/>
        <w:ind w:left="0" w:firstLine="0"/>
        <w:jc w:val="left"/>
        <w:rPr>
          <w:sz w:val="22"/>
          <w:szCs w:val="22"/>
        </w:rPr>
      </w:pPr>
      <w:r>
        <w:rPr>
          <w:i/>
          <w:iCs/>
          <w:sz w:val="22"/>
          <w:szCs w:val="22"/>
        </w:rPr>
        <w:br w:type="page"/>
      </w:r>
    </w:p>
    <w:p w14:paraId="19ADE353" w14:textId="451002D6" w:rsidR="00A3555E" w:rsidRPr="00AC7BD8" w:rsidRDefault="00A3555E" w:rsidP="00610EF3">
      <w:pPr>
        <w:pStyle w:val="Caption"/>
        <w:keepNext/>
        <w:spacing w:after="120"/>
        <w:ind w:hanging="11"/>
        <w:rPr>
          <w:i w:val="0"/>
          <w:iCs w:val="0"/>
          <w:color w:val="auto"/>
          <w:sz w:val="22"/>
          <w:szCs w:val="22"/>
        </w:rPr>
      </w:pPr>
      <w:r w:rsidRPr="00AC7BD8">
        <w:rPr>
          <w:i w:val="0"/>
          <w:iCs w:val="0"/>
          <w:color w:val="auto"/>
          <w:sz w:val="22"/>
          <w:szCs w:val="22"/>
        </w:rPr>
        <w:lastRenderedPageBreak/>
        <w:t xml:space="preserve">Table </w:t>
      </w:r>
      <w:r w:rsidR="00F61229" w:rsidRPr="00AC7BD8">
        <w:rPr>
          <w:i w:val="0"/>
          <w:iCs w:val="0"/>
          <w:color w:val="auto"/>
          <w:sz w:val="22"/>
          <w:szCs w:val="22"/>
        </w:rPr>
        <w:fldChar w:fldCharType="begin"/>
      </w:r>
      <w:r w:rsidR="00F61229" w:rsidRPr="00AC7BD8">
        <w:rPr>
          <w:i w:val="0"/>
          <w:iCs w:val="0"/>
          <w:color w:val="auto"/>
          <w:sz w:val="22"/>
          <w:szCs w:val="22"/>
        </w:rPr>
        <w:instrText xml:space="preserve"> SEQ Table \* ARABIC </w:instrText>
      </w:r>
      <w:r w:rsidR="00F61229" w:rsidRPr="00AC7BD8">
        <w:rPr>
          <w:i w:val="0"/>
          <w:iCs w:val="0"/>
          <w:color w:val="auto"/>
          <w:sz w:val="22"/>
          <w:szCs w:val="22"/>
        </w:rPr>
        <w:fldChar w:fldCharType="separate"/>
      </w:r>
      <w:r w:rsidR="00E94700" w:rsidRPr="00AC7BD8">
        <w:rPr>
          <w:i w:val="0"/>
          <w:iCs w:val="0"/>
          <w:noProof/>
          <w:color w:val="auto"/>
          <w:sz w:val="22"/>
          <w:szCs w:val="22"/>
        </w:rPr>
        <w:t>9</w:t>
      </w:r>
      <w:r w:rsidR="00F61229" w:rsidRPr="00AC7BD8">
        <w:rPr>
          <w:i w:val="0"/>
          <w:iCs w:val="0"/>
          <w:noProof/>
          <w:color w:val="auto"/>
          <w:sz w:val="22"/>
          <w:szCs w:val="22"/>
        </w:rPr>
        <w:fldChar w:fldCharType="end"/>
      </w:r>
    </w:p>
    <w:tbl>
      <w:tblPr>
        <w:tblStyle w:val="TableGrid"/>
        <w:tblW w:w="0" w:type="auto"/>
        <w:tblInd w:w="-289" w:type="dxa"/>
        <w:tblLook w:val="04A0" w:firstRow="1" w:lastRow="0" w:firstColumn="1" w:lastColumn="0" w:noHBand="0" w:noVBand="1"/>
      </w:tblPr>
      <w:tblGrid>
        <w:gridCol w:w="5494"/>
        <w:gridCol w:w="1255"/>
        <w:gridCol w:w="933"/>
        <w:gridCol w:w="2090"/>
      </w:tblGrid>
      <w:tr w:rsidR="00A3555E" w:rsidRPr="00631A41" w14:paraId="0CE83665" w14:textId="77777777" w:rsidTr="00EC18A6">
        <w:tc>
          <w:tcPr>
            <w:tcW w:w="5671" w:type="dxa"/>
            <w:shd w:val="clear" w:color="auto" w:fill="auto"/>
          </w:tcPr>
          <w:p w14:paraId="7C2D2006" w14:textId="77777777" w:rsidR="00A3555E" w:rsidRPr="00631A41" w:rsidRDefault="00A3555E" w:rsidP="00D13C50">
            <w:pPr>
              <w:rPr>
                <w:sz w:val="18"/>
              </w:rPr>
            </w:pPr>
          </w:p>
        </w:tc>
        <w:tc>
          <w:tcPr>
            <w:tcW w:w="2011" w:type="dxa"/>
            <w:gridSpan w:val="2"/>
            <w:shd w:val="clear" w:color="auto" w:fill="auto"/>
            <w:vAlign w:val="center"/>
          </w:tcPr>
          <w:p w14:paraId="389C16B4" w14:textId="0A9814C8" w:rsidR="00A3555E" w:rsidRPr="00631A41" w:rsidRDefault="00A3555E" w:rsidP="00D13C50">
            <w:pPr>
              <w:jc w:val="center"/>
              <w:rPr>
                <w:rFonts w:cstheme="minorHAnsi"/>
                <w:b/>
                <w:i/>
                <w:sz w:val="18"/>
              </w:rPr>
            </w:pPr>
            <w:r w:rsidRPr="00631A41">
              <w:rPr>
                <w:rFonts w:cstheme="minorHAnsi"/>
                <w:b/>
                <w:i/>
                <w:sz w:val="18"/>
              </w:rPr>
              <w:t>GVA 20</w:t>
            </w:r>
            <w:r>
              <w:rPr>
                <w:rFonts w:cstheme="minorHAnsi"/>
                <w:b/>
                <w:i/>
                <w:sz w:val="18"/>
              </w:rPr>
              <w:t>20</w:t>
            </w:r>
          </w:p>
        </w:tc>
        <w:tc>
          <w:tcPr>
            <w:tcW w:w="0" w:type="auto"/>
            <w:shd w:val="clear" w:color="auto" w:fill="auto"/>
          </w:tcPr>
          <w:p w14:paraId="457AA3BC" w14:textId="77777777" w:rsidR="00A3555E" w:rsidRPr="00631A41" w:rsidRDefault="00A3555E" w:rsidP="00D13C50">
            <w:pPr>
              <w:jc w:val="center"/>
              <w:rPr>
                <w:b/>
                <w:i/>
                <w:sz w:val="18"/>
              </w:rPr>
            </w:pPr>
            <w:r>
              <w:rPr>
                <w:b/>
                <w:i/>
                <w:sz w:val="18"/>
              </w:rPr>
              <w:t>GVA per job</w:t>
            </w:r>
          </w:p>
        </w:tc>
      </w:tr>
      <w:tr w:rsidR="00A3555E" w:rsidRPr="00631A41" w14:paraId="1B1899CB" w14:textId="77777777" w:rsidTr="00EC18A6">
        <w:tc>
          <w:tcPr>
            <w:tcW w:w="5671" w:type="dxa"/>
            <w:shd w:val="clear" w:color="auto" w:fill="auto"/>
          </w:tcPr>
          <w:p w14:paraId="437B8507" w14:textId="77777777" w:rsidR="00A3555E" w:rsidRPr="00631A41" w:rsidRDefault="00A3555E" w:rsidP="00D13C50">
            <w:pPr>
              <w:rPr>
                <w:sz w:val="18"/>
              </w:rPr>
            </w:pPr>
          </w:p>
        </w:tc>
        <w:tc>
          <w:tcPr>
            <w:tcW w:w="1078" w:type="dxa"/>
            <w:shd w:val="clear" w:color="auto" w:fill="auto"/>
            <w:vAlign w:val="center"/>
          </w:tcPr>
          <w:p w14:paraId="74AB2A31" w14:textId="77777777" w:rsidR="00A3555E" w:rsidRPr="00631A41" w:rsidRDefault="00A3555E" w:rsidP="00D13C50">
            <w:pPr>
              <w:jc w:val="center"/>
              <w:rPr>
                <w:rFonts w:cstheme="minorHAnsi"/>
                <w:b/>
                <w:i/>
                <w:sz w:val="18"/>
              </w:rPr>
            </w:pPr>
            <w:r w:rsidRPr="00631A41">
              <w:rPr>
                <w:rFonts w:cstheme="minorHAnsi"/>
                <w:b/>
                <w:i/>
                <w:sz w:val="18"/>
              </w:rPr>
              <w:t>GVA £m</w:t>
            </w:r>
          </w:p>
        </w:tc>
        <w:tc>
          <w:tcPr>
            <w:tcW w:w="0" w:type="auto"/>
            <w:tcBorders>
              <w:bottom w:val="single" w:sz="4" w:space="0" w:color="auto"/>
            </w:tcBorders>
            <w:shd w:val="clear" w:color="auto" w:fill="auto"/>
            <w:vAlign w:val="center"/>
          </w:tcPr>
          <w:p w14:paraId="657E9308" w14:textId="77777777" w:rsidR="00A3555E" w:rsidRPr="00631A41" w:rsidRDefault="00A3555E" w:rsidP="00D13C50">
            <w:pPr>
              <w:jc w:val="center"/>
              <w:rPr>
                <w:rFonts w:cstheme="minorHAnsi"/>
                <w:b/>
                <w:i/>
                <w:sz w:val="18"/>
              </w:rPr>
            </w:pPr>
            <w:r w:rsidRPr="00631A41">
              <w:rPr>
                <w:rFonts w:cstheme="minorHAnsi"/>
                <w:b/>
                <w:i/>
                <w:sz w:val="18"/>
              </w:rPr>
              <w:t>%</w:t>
            </w:r>
          </w:p>
        </w:tc>
        <w:tc>
          <w:tcPr>
            <w:tcW w:w="0" w:type="auto"/>
            <w:shd w:val="clear" w:color="auto" w:fill="auto"/>
            <w:vAlign w:val="center"/>
          </w:tcPr>
          <w:p w14:paraId="7A72A45E" w14:textId="77777777" w:rsidR="00A3555E" w:rsidRPr="00631A41" w:rsidRDefault="00A3555E" w:rsidP="00D13C50">
            <w:pPr>
              <w:jc w:val="center"/>
              <w:rPr>
                <w:b/>
                <w:i/>
                <w:sz w:val="18"/>
              </w:rPr>
            </w:pPr>
          </w:p>
        </w:tc>
      </w:tr>
      <w:tr w:rsidR="00A3555E" w:rsidRPr="00631A41" w14:paraId="7C21A6EB" w14:textId="77777777" w:rsidTr="00EC18A6">
        <w:trPr>
          <w:trHeight w:val="340"/>
        </w:trPr>
        <w:tc>
          <w:tcPr>
            <w:tcW w:w="5671" w:type="dxa"/>
            <w:shd w:val="clear" w:color="auto" w:fill="auto"/>
            <w:vAlign w:val="center"/>
          </w:tcPr>
          <w:p w14:paraId="19D0CD1A" w14:textId="4C692429" w:rsidR="00A3555E" w:rsidRPr="00EC18A6" w:rsidRDefault="00A3555E" w:rsidP="00D13C50">
            <w:pPr>
              <w:rPr>
                <w:sz w:val="18"/>
                <w:szCs w:val="18"/>
              </w:rPr>
            </w:pPr>
            <w:r w:rsidRPr="00EC18A6">
              <w:rPr>
                <w:sz w:val="18"/>
                <w:szCs w:val="18"/>
              </w:rPr>
              <w:t xml:space="preserve">ABDE: Agriculture, mining, electricity, gas, water </w:t>
            </w:r>
            <w:r w:rsidR="00EC18A6">
              <w:rPr>
                <w:sz w:val="18"/>
                <w:szCs w:val="18"/>
              </w:rPr>
              <w:t>&amp;</w:t>
            </w:r>
            <w:r w:rsidRPr="00EC18A6">
              <w:rPr>
                <w:sz w:val="18"/>
                <w:szCs w:val="18"/>
              </w:rPr>
              <w:t xml:space="preserve"> waste</w:t>
            </w:r>
          </w:p>
        </w:tc>
        <w:tc>
          <w:tcPr>
            <w:tcW w:w="1078" w:type="dxa"/>
            <w:shd w:val="clear" w:color="auto" w:fill="auto"/>
            <w:vAlign w:val="center"/>
          </w:tcPr>
          <w:p w14:paraId="7A591570" w14:textId="77777777" w:rsidR="00A3555E" w:rsidRPr="00EC18A6" w:rsidRDefault="00A3555E" w:rsidP="00D13C50">
            <w:pPr>
              <w:jc w:val="center"/>
              <w:rPr>
                <w:rFonts w:cstheme="minorHAnsi"/>
                <w:sz w:val="20"/>
                <w:szCs w:val="20"/>
              </w:rPr>
            </w:pPr>
            <w:r w:rsidRPr="00EC18A6">
              <w:rPr>
                <w:rFonts w:cstheme="minorHAnsi"/>
                <w:sz w:val="20"/>
                <w:szCs w:val="20"/>
              </w:rPr>
              <w:t>121</w:t>
            </w:r>
          </w:p>
        </w:tc>
        <w:tc>
          <w:tcPr>
            <w:tcW w:w="0" w:type="auto"/>
            <w:tcBorders>
              <w:top w:val="single" w:sz="4" w:space="0" w:color="auto"/>
              <w:left w:val="nil"/>
              <w:bottom w:val="single" w:sz="4" w:space="0" w:color="auto"/>
              <w:right w:val="nil"/>
            </w:tcBorders>
            <w:shd w:val="clear" w:color="auto" w:fill="auto"/>
            <w:vAlign w:val="center"/>
          </w:tcPr>
          <w:p w14:paraId="46987654"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2.79%</w:t>
            </w:r>
          </w:p>
        </w:tc>
        <w:tc>
          <w:tcPr>
            <w:tcW w:w="0" w:type="auto"/>
            <w:shd w:val="clear" w:color="auto" w:fill="auto"/>
            <w:vAlign w:val="center"/>
          </w:tcPr>
          <w:p w14:paraId="7375754B" w14:textId="77777777" w:rsidR="00A3555E" w:rsidRPr="00EC18A6" w:rsidRDefault="00A3555E" w:rsidP="00D13C50">
            <w:pPr>
              <w:jc w:val="center"/>
              <w:rPr>
                <w:b/>
                <w:bCs/>
                <w:sz w:val="18"/>
                <w:szCs w:val="18"/>
              </w:rPr>
            </w:pPr>
            <w:r w:rsidRPr="00EC18A6">
              <w:rPr>
                <w:rFonts w:cs="Calibri"/>
                <w:b/>
                <w:bCs/>
                <w:color w:val="000000"/>
                <w:sz w:val="18"/>
                <w:szCs w:val="18"/>
              </w:rPr>
              <w:t>£53,539.82</w:t>
            </w:r>
          </w:p>
        </w:tc>
      </w:tr>
      <w:tr w:rsidR="00A3555E" w:rsidRPr="00631A41" w14:paraId="7F25032D" w14:textId="77777777" w:rsidTr="00EC18A6">
        <w:trPr>
          <w:trHeight w:val="340"/>
        </w:trPr>
        <w:tc>
          <w:tcPr>
            <w:tcW w:w="5671" w:type="dxa"/>
            <w:shd w:val="clear" w:color="auto" w:fill="auto"/>
            <w:vAlign w:val="center"/>
          </w:tcPr>
          <w:p w14:paraId="320D7C22" w14:textId="77777777" w:rsidR="00A3555E" w:rsidRPr="00EC18A6" w:rsidRDefault="00A3555E" w:rsidP="00D13C50">
            <w:pPr>
              <w:rPr>
                <w:sz w:val="18"/>
                <w:szCs w:val="18"/>
              </w:rPr>
            </w:pPr>
            <w:r w:rsidRPr="00EC18A6">
              <w:rPr>
                <w:sz w:val="18"/>
                <w:szCs w:val="18"/>
              </w:rPr>
              <w:t>C: Manufacturing</w:t>
            </w:r>
          </w:p>
        </w:tc>
        <w:tc>
          <w:tcPr>
            <w:tcW w:w="1078" w:type="dxa"/>
            <w:shd w:val="clear" w:color="auto" w:fill="auto"/>
            <w:vAlign w:val="center"/>
          </w:tcPr>
          <w:p w14:paraId="4A5FFA72" w14:textId="77777777" w:rsidR="00A3555E" w:rsidRPr="00EC18A6" w:rsidRDefault="00A3555E" w:rsidP="00D13C50">
            <w:pPr>
              <w:jc w:val="center"/>
              <w:rPr>
                <w:rFonts w:cstheme="minorHAnsi"/>
                <w:sz w:val="20"/>
                <w:szCs w:val="20"/>
              </w:rPr>
            </w:pPr>
            <w:r w:rsidRPr="00EC18A6">
              <w:rPr>
                <w:rFonts w:cstheme="minorHAnsi"/>
                <w:sz w:val="20"/>
                <w:szCs w:val="20"/>
              </w:rPr>
              <w:t>1,499</w:t>
            </w:r>
          </w:p>
        </w:tc>
        <w:tc>
          <w:tcPr>
            <w:tcW w:w="0" w:type="auto"/>
            <w:tcBorders>
              <w:top w:val="single" w:sz="4" w:space="0" w:color="auto"/>
              <w:left w:val="nil"/>
              <w:bottom w:val="single" w:sz="4" w:space="0" w:color="auto"/>
              <w:right w:val="nil"/>
            </w:tcBorders>
            <w:shd w:val="clear" w:color="auto" w:fill="auto"/>
            <w:vAlign w:val="center"/>
          </w:tcPr>
          <w:p w14:paraId="5F17B5F0"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34.59%</w:t>
            </w:r>
          </w:p>
        </w:tc>
        <w:tc>
          <w:tcPr>
            <w:tcW w:w="0" w:type="auto"/>
            <w:shd w:val="clear" w:color="auto" w:fill="auto"/>
            <w:vAlign w:val="center"/>
          </w:tcPr>
          <w:p w14:paraId="493B331F" w14:textId="77777777" w:rsidR="00A3555E" w:rsidRPr="00EC18A6" w:rsidRDefault="00A3555E" w:rsidP="00D13C50">
            <w:pPr>
              <w:jc w:val="center"/>
              <w:rPr>
                <w:b/>
                <w:bCs/>
                <w:sz w:val="18"/>
                <w:szCs w:val="18"/>
              </w:rPr>
            </w:pPr>
            <w:r w:rsidRPr="00EC18A6">
              <w:rPr>
                <w:rFonts w:cs="Calibri"/>
                <w:b/>
                <w:bCs/>
                <w:color w:val="000000"/>
                <w:sz w:val="18"/>
                <w:szCs w:val="18"/>
              </w:rPr>
              <w:t>£124,916.67</w:t>
            </w:r>
          </w:p>
        </w:tc>
      </w:tr>
      <w:tr w:rsidR="00A3555E" w:rsidRPr="00631A41" w14:paraId="1D06E2C8" w14:textId="77777777" w:rsidTr="00EC18A6">
        <w:trPr>
          <w:trHeight w:val="340"/>
        </w:trPr>
        <w:tc>
          <w:tcPr>
            <w:tcW w:w="5671" w:type="dxa"/>
            <w:shd w:val="clear" w:color="auto" w:fill="auto"/>
            <w:vAlign w:val="center"/>
          </w:tcPr>
          <w:p w14:paraId="49F7CA29" w14:textId="77777777" w:rsidR="00A3555E" w:rsidRPr="00EC18A6" w:rsidRDefault="00A3555E" w:rsidP="00D13C50">
            <w:pPr>
              <w:rPr>
                <w:sz w:val="18"/>
                <w:szCs w:val="18"/>
              </w:rPr>
            </w:pPr>
            <w:r w:rsidRPr="00EC18A6">
              <w:rPr>
                <w:sz w:val="18"/>
                <w:szCs w:val="18"/>
              </w:rPr>
              <w:t>F: Construction</w:t>
            </w:r>
          </w:p>
        </w:tc>
        <w:tc>
          <w:tcPr>
            <w:tcW w:w="1078" w:type="dxa"/>
            <w:shd w:val="clear" w:color="auto" w:fill="auto"/>
            <w:vAlign w:val="center"/>
          </w:tcPr>
          <w:p w14:paraId="421367A1" w14:textId="77777777" w:rsidR="00A3555E" w:rsidRPr="00EC18A6" w:rsidRDefault="00A3555E" w:rsidP="00D13C50">
            <w:pPr>
              <w:jc w:val="center"/>
              <w:rPr>
                <w:rFonts w:cstheme="minorHAnsi"/>
                <w:sz w:val="20"/>
                <w:szCs w:val="20"/>
              </w:rPr>
            </w:pPr>
            <w:r w:rsidRPr="00EC18A6">
              <w:rPr>
                <w:rFonts w:cstheme="minorHAnsi"/>
                <w:sz w:val="20"/>
                <w:szCs w:val="20"/>
              </w:rPr>
              <w:t>241</w:t>
            </w:r>
          </w:p>
        </w:tc>
        <w:tc>
          <w:tcPr>
            <w:tcW w:w="0" w:type="auto"/>
            <w:tcBorders>
              <w:top w:val="single" w:sz="4" w:space="0" w:color="auto"/>
              <w:left w:val="nil"/>
              <w:bottom w:val="single" w:sz="4" w:space="0" w:color="auto"/>
              <w:right w:val="nil"/>
            </w:tcBorders>
            <w:shd w:val="clear" w:color="auto" w:fill="auto"/>
            <w:vAlign w:val="center"/>
          </w:tcPr>
          <w:p w14:paraId="7D7B5211"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5.56%</w:t>
            </w:r>
          </w:p>
        </w:tc>
        <w:tc>
          <w:tcPr>
            <w:tcW w:w="0" w:type="auto"/>
            <w:shd w:val="clear" w:color="auto" w:fill="auto"/>
            <w:vAlign w:val="center"/>
          </w:tcPr>
          <w:p w14:paraId="3327E848" w14:textId="77777777" w:rsidR="00A3555E" w:rsidRPr="00EC18A6" w:rsidRDefault="00A3555E" w:rsidP="00D13C50">
            <w:pPr>
              <w:jc w:val="center"/>
              <w:rPr>
                <w:b/>
                <w:bCs/>
                <w:sz w:val="18"/>
                <w:szCs w:val="18"/>
              </w:rPr>
            </w:pPr>
            <w:r w:rsidRPr="00EC18A6">
              <w:rPr>
                <w:rFonts w:cs="Calibri"/>
                <w:b/>
                <w:bCs/>
                <w:color w:val="000000"/>
                <w:sz w:val="18"/>
                <w:szCs w:val="18"/>
              </w:rPr>
              <w:t>£80,333.33</w:t>
            </w:r>
          </w:p>
        </w:tc>
      </w:tr>
      <w:tr w:rsidR="00A3555E" w:rsidRPr="00631A41" w14:paraId="3E88EEAA" w14:textId="77777777" w:rsidTr="00EC18A6">
        <w:trPr>
          <w:trHeight w:val="340"/>
        </w:trPr>
        <w:tc>
          <w:tcPr>
            <w:tcW w:w="5671" w:type="dxa"/>
            <w:shd w:val="clear" w:color="auto" w:fill="auto"/>
            <w:vAlign w:val="center"/>
          </w:tcPr>
          <w:p w14:paraId="2C36D738" w14:textId="77777777" w:rsidR="00A3555E" w:rsidRPr="00EC18A6" w:rsidRDefault="00A3555E" w:rsidP="00D13C50">
            <w:pPr>
              <w:rPr>
                <w:sz w:val="18"/>
                <w:szCs w:val="18"/>
              </w:rPr>
            </w:pPr>
            <w:r w:rsidRPr="00EC18A6">
              <w:rPr>
                <w:sz w:val="18"/>
                <w:szCs w:val="18"/>
              </w:rPr>
              <w:t>G: Wholesale and retail trade</w:t>
            </w:r>
          </w:p>
        </w:tc>
        <w:tc>
          <w:tcPr>
            <w:tcW w:w="1078" w:type="dxa"/>
            <w:shd w:val="clear" w:color="auto" w:fill="auto"/>
            <w:vAlign w:val="center"/>
          </w:tcPr>
          <w:p w14:paraId="4EEB3A89" w14:textId="77777777" w:rsidR="00A3555E" w:rsidRPr="00EC18A6" w:rsidRDefault="00A3555E" w:rsidP="00D13C50">
            <w:pPr>
              <w:jc w:val="center"/>
              <w:rPr>
                <w:rFonts w:cstheme="minorHAnsi"/>
                <w:sz w:val="20"/>
                <w:szCs w:val="20"/>
              </w:rPr>
            </w:pPr>
            <w:r w:rsidRPr="00EC18A6">
              <w:rPr>
                <w:rFonts w:cstheme="minorHAnsi"/>
                <w:sz w:val="20"/>
                <w:szCs w:val="20"/>
              </w:rPr>
              <w:t>402</w:t>
            </w:r>
          </w:p>
        </w:tc>
        <w:tc>
          <w:tcPr>
            <w:tcW w:w="0" w:type="auto"/>
            <w:tcBorders>
              <w:top w:val="single" w:sz="4" w:space="0" w:color="auto"/>
              <w:left w:val="nil"/>
              <w:bottom w:val="single" w:sz="4" w:space="0" w:color="auto"/>
              <w:right w:val="nil"/>
            </w:tcBorders>
            <w:shd w:val="clear" w:color="auto" w:fill="auto"/>
            <w:vAlign w:val="center"/>
          </w:tcPr>
          <w:p w14:paraId="313186A4"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9.28%</w:t>
            </w:r>
          </w:p>
        </w:tc>
        <w:tc>
          <w:tcPr>
            <w:tcW w:w="0" w:type="auto"/>
            <w:shd w:val="clear" w:color="auto" w:fill="auto"/>
            <w:vAlign w:val="center"/>
          </w:tcPr>
          <w:p w14:paraId="244D24C9" w14:textId="77777777" w:rsidR="00A3555E" w:rsidRPr="00EC18A6" w:rsidRDefault="00A3555E" w:rsidP="00D13C50">
            <w:pPr>
              <w:jc w:val="center"/>
              <w:rPr>
                <w:b/>
                <w:bCs/>
                <w:sz w:val="18"/>
                <w:szCs w:val="18"/>
              </w:rPr>
            </w:pPr>
            <w:r w:rsidRPr="00EC18A6">
              <w:rPr>
                <w:rFonts w:cs="Calibri"/>
                <w:b/>
                <w:bCs/>
                <w:color w:val="000000"/>
                <w:sz w:val="18"/>
                <w:szCs w:val="18"/>
              </w:rPr>
              <w:t>£40,200.00</w:t>
            </w:r>
          </w:p>
        </w:tc>
      </w:tr>
      <w:tr w:rsidR="00A3555E" w:rsidRPr="00631A41" w14:paraId="2753BA43" w14:textId="77777777" w:rsidTr="00EC18A6">
        <w:trPr>
          <w:trHeight w:val="340"/>
        </w:trPr>
        <w:tc>
          <w:tcPr>
            <w:tcW w:w="5671" w:type="dxa"/>
            <w:shd w:val="clear" w:color="auto" w:fill="auto"/>
            <w:vAlign w:val="center"/>
          </w:tcPr>
          <w:p w14:paraId="2638B9B7" w14:textId="77777777" w:rsidR="00A3555E" w:rsidRPr="00EC18A6" w:rsidRDefault="00A3555E" w:rsidP="00D13C50">
            <w:pPr>
              <w:rPr>
                <w:sz w:val="18"/>
                <w:szCs w:val="18"/>
              </w:rPr>
            </w:pPr>
            <w:r w:rsidRPr="00EC18A6">
              <w:rPr>
                <w:sz w:val="18"/>
                <w:szCs w:val="18"/>
              </w:rPr>
              <w:t>H: Transportation and Storage</w:t>
            </w:r>
          </w:p>
        </w:tc>
        <w:tc>
          <w:tcPr>
            <w:tcW w:w="1078" w:type="dxa"/>
            <w:shd w:val="clear" w:color="auto" w:fill="auto"/>
            <w:vAlign w:val="center"/>
          </w:tcPr>
          <w:p w14:paraId="69395FAB" w14:textId="77777777" w:rsidR="00A3555E" w:rsidRPr="00EC18A6" w:rsidRDefault="00A3555E" w:rsidP="00D13C50">
            <w:pPr>
              <w:jc w:val="center"/>
              <w:rPr>
                <w:rFonts w:cstheme="minorHAnsi"/>
                <w:sz w:val="20"/>
                <w:szCs w:val="20"/>
              </w:rPr>
            </w:pPr>
            <w:r w:rsidRPr="00EC18A6">
              <w:rPr>
                <w:rFonts w:cstheme="minorHAnsi"/>
                <w:sz w:val="20"/>
                <w:szCs w:val="20"/>
              </w:rPr>
              <w:t>40</w:t>
            </w:r>
          </w:p>
        </w:tc>
        <w:tc>
          <w:tcPr>
            <w:tcW w:w="0" w:type="auto"/>
            <w:tcBorders>
              <w:top w:val="single" w:sz="4" w:space="0" w:color="auto"/>
              <w:left w:val="nil"/>
              <w:bottom w:val="single" w:sz="4" w:space="0" w:color="auto"/>
              <w:right w:val="nil"/>
            </w:tcBorders>
            <w:shd w:val="clear" w:color="auto" w:fill="auto"/>
            <w:vAlign w:val="center"/>
          </w:tcPr>
          <w:p w14:paraId="59181A2E"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0.92%</w:t>
            </w:r>
          </w:p>
        </w:tc>
        <w:tc>
          <w:tcPr>
            <w:tcW w:w="0" w:type="auto"/>
            <w:shd w:val="clear" w:color="auto" w:fill="auto"/>
            <w:vAlign w:val="center"/>
          </w:tcPr>
          <w:p w14:paraId="4678E771" w14:textId="77777777" w:rsidR="00A3555E" w:rsidRPr="00EC18A6" w:rsidRDefault="00A3555E" w:rsidP="00D13C50">
            <w:pPr>
              <w:jc w:val="center"/>
              <w:rPr>
                <w:b/>
                <w:bCs/>
                <w:sz w:val="18"/>
                <w:szCs w:val="18"/>
              </w:rPr>
            </w:pPr>
            <w:r w:rsidRPr="00EC18A6">
              <w:rPr>
                <w:rFonts w:cs="Calibri"/>
                <w:b/>
                <w:bCs/>
                <w:color w:val="000000"/>
                <w:sz w:val="18"/>
                <w:szCs w:val="18"/>
              </w:rPr>
              <w:t>£32,000.00</w:t>
            </w:r>
          </w:p>
        </w:tc>
      </w:tr>
      <w:tr w:rsidR="00A3555E" w:rsidRPr="00631A41" w14:paraId="74DCDD64" w14:textId="77777777" w:rsidTr="00EC18A6">
        <w:trPr>
          <w:trHeight w:val="340"/>
        </w:trPr>
        <w:tc>
          <w:tcPr>
            <w:tcW w:w="5671" w:type="dxa"/>
            <w:shd w:val="clear" w:color="auto" w:fill="auto"/>
            <w:vAlign w:val="center"/>
          </w:tcPr>
          <w:p w14:paraId="521D5882" w14:textId="77777777" w:rsidR="00A3555E" w:rsidRPr="00EC18A6" w:rsidRDefault="00A3555E" w:rsidP="00D13C50">
            <w:pPr>
              <w:rPr>
                <w:sz w:val="18"/>
                <w:szCs w:val="18"/>
              </w:rPr>
            </w:pPr>
            <w:r w:rsidRPr="00EC18A6">
              <w:rPr>
                <w:sz w:val="18"/>
                <w:szCs w:val="18"/>
              </w:rPr>
              <w:t>I: Accommodation and Food service</w:t>
            </w:r>
          </w:p>
        </w:tc>
        <w:tc>
          <w:tcPr>
            <w:tcW w:w="1078" w:type="dxa"/>
            <w:shd w:val="clear" w:color="auto" w:fill="auto"/>
            <w:vAlign w:val="center"/>
          </w:tcPr>
          <w:p w14:paraId="4AD94798" w14:textId="77777777" w:rsidR="00A3555E" w:rsidRPr="00EC18A6" w:rsidRDefault="00A3555E" w:rsidP="00D13C50">
            <w:pPr>
              <w:jc w:val="center"/>
              <w:rPr>
                <w:rFonts w:cstheme="minorHAnsi"/>
                <w:sz w:val="20"/>
                <w:szCs w:val="20"/>
              </w:rPr>
            </w:pPr>
            <w:r w:rsidRPr="00EC18A6">
              <w:rPr>
                <w:rFonts w:cstheme="minorHAnsi"/>
                <w:sz w:val="20"/>
                <w:szCs w:val="20"/>
              </w:rPr>
              <w:t>104</w:t>
            </w:r>
          </w:p>
        </w:tc>
        <w:tc>
          <w:tcPr>
            <w:tcW w:w="0" w:type="auto"/>
            <w:tcBorders>
              <w:top w:val="single" w:sz="4" w:space="0" w:color="auto"/>
              <w:left w:val="nil"/>
              <w:bottom w:val="single" w:sz="4" w:space="0" w:color="auto"/>
              <w:right w:val="nil"/>
            </w:tcBorders>
            <w:shd w:val="clear" w:color="auto" w:fill="auto"/>
            <w:vAlign w:val="center"/>
          </w:tcPr>
          <w:p w14:paraId="0C9C804B"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2.40%</w:t>
            </w:r>
          </w:p>
        </w:tc>
        <w:tc>
          <w:tcPr>
            <w:tcW w:w="0" w:type="auto"/>
            <w:shd w:val="clear" w:color="auto" w:fill="auto"/>
            <w:vAlign w:val="center"/>
          </w:tcPr>
          <w:p w14:paraId="4A889585" w14:textId="77777777" w:rsidR="00A3555E" w:rsidRPr="00EC18A6" w:rsidRDefault="00A3555E" w:rsidP="00D13C50">
            <w:pPr>
              <w:jc w:val="center"/>
              <w:rPr>
                <w:b/>
                <w:bCs/>
                <w:sz w:val="18"/>
                <w:szCs w:val="18"/>
              </w:rPr>
            </w:pPr>
            <w:r w:rsidRPr="00EC18A6">
              <w:rPr>
                <w:rFonts w:cs="Calibri"/>
                <w:b/>
                <w:bCs/>
                <w:color w:val="000000"/>
                <w:sz w:val="18"/>
                <w:szCs w:val="18"/>
              </w:rPr>
              <w:t>£17,333.33</w:t>
            </w:r>
          </w:p>
        </w:tc>
      </w:tr>
      <w:tr w:rsidR="00A3555E" w:rsidRPr="00631A41" w14:paraId="42B6F87A" w14:textId="77777777" w:rsidTr="00EC18A6">
        <w:trPr>
          <w:trHeight w:val="340"/>
        </w:trPr>
        <w:tc>
          <w:tcPr>
            <w:tcW w:w="5671" w:type="dxa"/>
            <w:shd w:val="clear" w:color="auto" w:fill="auto"/>
            <w:vAlign w:val="center"/>
          </w:tcPr>
          <w:p w14:paraId="58262982" w14:textId="77777777" w:rsidR="00A3555E" w:rsidRPr="00EC18A6" w:rsidRDefault="00A3555E" w:rsidP="00D13C50">
            <w:pPr>
              <w:rPr>
                <w:sz w:val="18"/>
                <w:szCs w:val="18"/>
              </w:rPr>
            </w:pPr>
            <w:r w:rsidRPr="00EC18A6">
              <w:rPr>
                <w:sz w:val="18"/>
                <w:szCs w:val="18"/>
              </w:rPr>
              <w:t>J: Information and communication</w:t>
            </w:r>
          </w:p>
        </w:tc>
        <w:tc>
          <w:tcPr>
            <w:tcW w:w="1078" w:type="dxa"/>
            <w:shd w:val="clear" w:color="auto" w:fill="auto"/>
            <w:vAlign w:val="center"/>
          </w:tcPr>
          <w:p w14:paraId="4B133485" w14:textId="77777777" w:rsidR="00A3555E" w:rsidRPr="00EC18A6" w:rsidRDefault="00A3555E" w:rsidP="00D13C50">
            <w:pPr>
              <w:jc w:val="center"/>
              <w:rPr>
                <w:rFonts w:cstheme="minorHAnsi"/>
                <w:sz w:val="20"/>
                <w:szCs w:val="20"/>
              </w:rPr>
            </w:pPr>
            <w:r w:rsidRPr="00EC18A6">
              <w:rPr>
                <w:rFonts w:cstheme="minorHAnsi"/>
                <w:sz w:val="20"/>
                <w:szCs w:val="20"/>
              </w:rPr>
              <w:t>154</w:t>
            </w:r>
          </w:p>
        </w:tc>
        <w:tc>
          <w:tcPr>
            <w:tcW w:w="0" w:type="auto"/>
            <w:tcBorders>
              <w:top w:val="single" w:sz="4" w:space="0" w:color="auto"/>
              <w:left w:val="nil"/>
              <w:bottom w:val="single" w:sz="4" w:space="0" w:color="auto"/>
              <w:right w:val="nil"/>
            </w:tcBorders>
            <w:shd w:val="clear" w:color="auto" w:fill="auto"/>
            <w:vAlign w:val="center"/>
          </w:tcPr>
          <w:p w14:paraId="3AD2B96B"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3.55%</w:t>
            </w:r>
          </w:p>
        </w:tc>
        <w:tc>
          <w:tcPr>
            <w:tcW w:w="0" w:type="auto"/>
            <w:shd w:val="clear" w:color="auto" w:fill="auto"/>
            <w:vAlign w:val="center"/>
          </w:tcPr>
          <w:p w14:paraId="57CBDBAA" w14:textId="77777777" w:rsidR="00A3555E" w:rsidRPr="00EC18A6" w:rsidRDefault="00A3555E" w:rsidP="00D13C50">
            <w:pPr>
              <w:jc w:val="center"/>
              <w:rPr>
                <w:b/>
                <w:bCs/>
                <w:sz w:val="18"/>
                <w:szCs w:val="18"/>
              </w:rPr>
            </w:pPr>
            <w:r w:rsidRPr="00EC18A6">
              <w:rPr>
                <w:rFonts w:cs="Calibri"/>
                <w:b/>
                <w:bCs/>
                <w:color w:val="000000"/>
                <w:sz w:val="18"/>
                <w:szCs w:val="18"/>
              </w:rPr>
              <w:t>£61,600.00</w:t>
            </w:r>
          </w:p>
        </w:tc>
      </w:tr>
      <w:tr w:rsidR="00A3555E" w:rsidRPr="00631A41" w14:paraId="2233E0AC" w14:textId="77777777" w:rsidTr="00EC18A6">
        <w:trPr>
          <w:trHeight w:val="340"/>
        </w:trPr>
        <w:tc>
          <w:tcPr>
            <w:tcW w:w="5671" w:type="dxa"/>
            <w:shd w:val="clear" w:color="auto" w:fill="auto"/>
            <w:vAlign w:val="center"/>
          </w:tcPr>
          <w:p w14:paraId="0067337F" w14:textId="77777777" w:rsidR="00A3555E" w:rsidRPr="00EC18A6" w:rsidRDefault="00A3555E" w:rsidP="00D13C50">
            <w:pPr>
              <w:rPr>
                <w:sz w:val="18"/>
                <w:szCs w:val="18"/>
              </w:rPr>
            </w:pPr>
            <w:r w:rsidRPr="00EC18A6">
              <w:rPr>
                <w:sz w:val="18"/>
                <w:szCs w:val="18"/>
              </w:rPr>
              <w:t>K: Financial and insurance</w:t>
            </w:r>
          </w:p>
        </w:tc>
        <w:tc>
          <w:tcPr>
            <w:tcW w:w="1078" w:type="dxa"/>
            <w:shd w:val="clear" w:color="auto" w:fill="auto"/>
            <w:vAlign w:val="center"/>
          </w:tcPr>
          <w:p w14:paraId="122F3414" w14:textId="77777777" w:rsidR="00A3555E" w:rsidRPr="00EC18A6" w:rsidRDefault="00A3555E" w:rsidP="00D13C50">
            <w:pPr>
              <w:jc w:val="center"/>
              <w:rPr>
                <w:rFonts w:cstheme="minorHAnsi"/>
                <w:sz w:val="20"/>
                <w:szCs w:val="20"/>
              </w:rPr>
            </w:pPr>
            <w:r w:rsidRPr="00EC18A6">
              <w:rPr>
                <w:rFonts w:cstheme="minorHAnsi"/>
                <w:sz w:val="20"/>
                <w:szCs w:val="20"/>
              </w:rPr>
              <w:t>263</w:t>
            </w:r>
          </w:p>
        </w:tc>
        <w:tc>
          <w:tcPr>
            <w:tcW w:w="0" w:type="auto"/>
            <w:tcBorders>
              <w:top w:val="single" w:sz="4" w:space="0" w:color="auto"/>
              <w:left w:val="nil"/>
              <w:bottom w:val="single" w:sz="4" w:space="0" w:color="auto"/>
              <w:right w:val="nil"/>
            </w:tcBorders>
            <w:shd w:val="clear" w:color="auto" w:fill="auto"/>
            <w:vAlign w:val="center"/>
          </w:tcPr>
          <w:p w14:paraId="37EDABCC" w14:textId="77777777" w:rsidR="00A3555E" w:rsidRPr="00EC18A6" w:rsidRDefault="00A3555E" w:rsidP="00D13C50">
            <w:pPr>
              <w:jc w:val="center"/>
              <w:rPr>
                <w:rFonts w:cstheme="majorHAnsi"/>
                <w:i/>
                <w:iCs/>
                <w:sz w:val="18"/>
                <w:szCs w:val="18"/>
              </w:rPr>
            </w:pPr>
            <w:r w:rsidRPr="00EC18A6">
              <w:rPr>
                <w:rFonts w:cstheme="majorHAnsi"/>
                <w:i/>
                <w:iCs/>
                <w:sz w:val="18"/>
                <w:szCs w:val="18"/>
              </w:rPr>
              <w:t>6.07%</w:t>
            </w:r>
          </w:p>
        </w:tc>
        <w:tc>
          <w:tcPr>
            <w:tcW w:w="0" w:type="auto"/>
            <w:shd w:val="clear" w:color="auto" w:fill="auto"/>
            <w:vAlign w:val="center"/>
          </w:tcPr>
          <w:p w14:paraId="2239E5DC" w14:textId="77777777" w:rsidR="00A3555E" w:rsidRPr="00EC18A6" w:rsidRDefault="00A3555E" w:rsidP="00D13C50">
            <w:pPr>
              <w:jc w:val="center"/>
              <w:rPr>
                <w:b/>
                <w:bCs/>
                <w:sz w:val="18"/>
                <w:szCs w:val="18"/>
              </w:rPr>
            </w:pPr>
            <w:r w:rsidRPr="00EC18A6">
              <w:rPr>
                <w:rFonts w:cs="Calibri"/>
                <w:b/>
                <w:bCs/>
                <w:color w:val="000000"/>
                <w:sz w:val="18"/>
                <w:szCs w:val="18"/>
              </w:rPr>
              <w:t>£87,666.67</w:t>
            </w:r>
          </w:p>
        </w:tc>
      </w:tr>
      <w:tr w:rsidR="00A3555E" w:rsidRPr="00631A41" w14:paraId="1F67524A" w14:textId="77777777" w:rsidTr="00EC18A6">
        <w:trPr>
          <w:trHeight w:val="340"/>
        </w:trPr>
        <w:tc>
          <w:tcPr>
            <w:tcW w:w="5671" w:type="dxa"/>
            <w:shd w:val="clear" w:color="auto" w:fill="auto"/>
            <w:vAlign w:val="center"/>
          </w:tcPr>
          <w:p w14:paraId="3B3EDF5B" w14:textId="77777777" w:rsidR="00A3555E" w:rsidRPr="00EC18A6" w:rsidRDefault="00A3555E" w:rsidP="00D13C50">
            <w:pPr>
              <w:rPr>
                <w:sz w:val="18"/>
                <w:szCs w:val="18"/>
              </w:rPr>
            </w:pPr>
            <w:r w:rsidRPr="00EC18A6">
              <w:rPr>
                <w:sz w:val="18"/>
                <w:szCs w:val="18"/>
              </w:rPr>
              <w:t>L: Real estate</w:t>
            </w:r>
          </w:p>
        </w:tc>
        <w:tc>
          <w:tcPr>
            <w:tcW w:w="1078" w:type="dxa"/>
            <w:shd w:val="clear" w:color="auto" w:fill="auto"/>
            <w:vAlign w:val="center"/>
          </w:tcPr>
          <w:p w14:paraId="760B7AB9" w14:textId="77777777" w:rsidR="00A3555E" w:rsidRPr="00EC18A6" w:rsidRDefault="00A3555E" w:rsidP="00D13C50">
            <w:pPr>
              <w:jc w:val="center"/>
              <w:rPr>
                <w:rFonts w:cstheme="minorHAnsi"/>
                <w:sz w:val="20"/>
                <w:szCs w:val="20"/>
              </w:rPr>
            </w:pPr>
            <w:r w:rsidRPr="00EC18A6">
              <w:rPr>
                <w:rFonts w:cstheme="minorHAnsi"/>
                <w:sz w:val="20"/>
                <w:szCs w:val="20"/>
              </w:rPr>
              <w:t>669</w:t>
            </w:r>
          </w:p>
        </w:tc>
        <w:tc>
          <w:tcPr>
            <w:tcW w:w="0" w:type="auto"/>
            <w:tcBorders>
              <w:top w:val="single" w:sz="4" w:space="0" w:color="auto"/>
              <w:left w:val="nil"/>
              <w:bottom w:val="single" w:sz="4" w:space="0" w:color="auto"/>
              <w:right w:val="nil"/>
            </w:tcBorders>
            <w:shd w:val="clear" w:color="auto" w:fill="auto"/>
            <w:vAlign w:val="center"/>
          </w:tcPr>
          <w:p w14:paraId="31701527"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15.44%</w:t>
            </w:r>
          </w:p>
        </w:tc>
        <w:tc>
          <w:tcPr>
            <w:tcW w:w="0" w:type="auto"/>
            <w:shd w:val="clear" w:color="auto" w:fill="auto"/>
            <w:vAlign w:val="center"/>
          </w:tcPr>
          <w:p w14:paraId="6BFE8CAA" w14:textId="77777777" w:rsidR="00A3555E" w:rsidRPr="00EC18A6" w:rsidRDefault="00A3555E" w:rsidP="00D13C50">
            <w:pPr>
              <w:jc w:val="center"/>
              <w:rPr>
                <w:b/>
                <w:bCs/>
                <w:sz w:val="18"/>
                <w:szCs w:val="18"/>
              </w:rPr>
            </w:pPr>
            <w:r w:rsidRPr="00EC18A6">
              <w:rPr>
                <w:rFonts w:cs="Calibri"/>
                <w:b/>
                <w:bCs/>
                <w:color w:val="000000"/>
                <w:sz w:val="18"/>
                <w:szCs w:val="18"/>
              </w:rPr>
              <w:t>£535,200.00</w:t>
            </w:r>
          </w:p>
        </w:tc>
      </w:tr>
      <w:tr w:rsidR="00A3555E" w:rsidRPr="00631A41" w14:paraId="776CC1E3" w14:textId="77777777" w:rsidTr="00EC18A6">
        <w:trPr>
          <w:trHeight w:val="340"/>
        </w:trPr>
        <w:tc>
          <w:tcPr>
            <w:tcW w:w="5671" w:type="dxa"/>
            <w:shd w:val="clear" w:color="auto" w:fill="auto"/>
            <w:vAlign w:val="center"/>
          </w:tcPr>
          <w:p w14:paraId="59CCB686" w14:textId="77777777" w:rsidR="00A3555E" w:rsidRPr="00EC18A6" w:rsidRDefault="00A3555E" w:rsidP="00D13C50">
            <w:pPr>
              <w:rPr>
                <w:sz w:val="18"/>
                <w:szCs w:val="18"/>
              </w:rPr>
            </w:pPr>
            <w:r w:rsidRPr="00EC18A6">
              <w:rPr>
                <w:sz w:val="18"/>
                <w:szCs w:val="18"/>
              </w:rPr>
              <w:t>M: Professional, scientific and technical</w:t>
            </w:r>
          </w:p>
        </w:tc>
        <w:tc>
          <w:tcPr>
            <w:tcW w:w="1078" w:type="dxa"/>
            <w:shd w:val="clear" w:color="auto" w:fill="auto"/>
            <w:vAlign w:val="center"/>
          </w:tcPr>
          <w:p w14:paraId="1D832420" w14:textId="77777777" w:rsidR="00A3555E" w:rsidRPr="00EC18A6" w:rsidRDefault="00A3555E" w:rsidP="00D13C50">
            <w:pPr>
              <w:jc w:val="center"/>
              <w:rPr>
                <w:rFonts w:cstheme="minorHAnsi"/>
                <w:sz w:val="20"/>
                <w:szCs w:val="20"/>
              </w:rPr>
            </w:pPr>
            <w:r w:rsidRPr="00EC18A6">
              <w:rPr>
                <w:rFonts w:cstheme="minorHAnsi"/>
                <w:sz w:val="20"/>
                <w:szCs w:val="20"/>
              </w:rPr>
              <w:t>177</w:t>
            </w:r>
          </w:p>
        </w:tc>
        <w:tc>
          <w:tcPr>
            <w:tcW w:w="0" w:type="auto"/>
            <w:tcBorders>
              <w:top w:val="single" w:sz="4" w:space="0" w:color="auto"/>
              <w:left w:val="nil"/>
              <w:bottom w:val="single" w:sz="4" w:space="0" w:color="auto"/>
              <w:right w:val="nil"/>
            </w:tcBorders>
            <w:shd w:val="clear" w:color="auto" w:fill="auto"/>
            <w:vAlign w:val="center"/>
          </w:tcPr>
          <w:p w14:paraId="4B0D9340"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4.08%</w:t>
            </w:r>
          </w:p>
        </w:tc>
        <w:tc>
          <w:tcPr>
            <w:tcW w:w="0" w:type="auto"/>
            <w:shd w:val="clear" w:color="auto" w:fill="auto"/>
            <w:vAlign w:val="center"/>
          </w:tcPr>
          <w:p w14:paraId="4A1A8BA9" w14:textId="77777777" w:rsidR="00A3555E" w:rsidRPr="00EC18A6" w:rsidRDefault="00A3555E" w:rsidP="00D13C50">
            <w:pPr>
              <w:jc w:val="center"/>
              <w:rPr>
                <w:rFonts w:cstheme="minorHAnsi"/>
                <w:b/>
                <w:bCs/>
                <w:sz w:val="18"/>
                <w:szCs w:val="18"/>
              </w:rPr>
            </w:pPr>
            <w:r w:rsidRPr="00EC18A6">
              <w:rPr>
                <w:rFonts w:cs="Calibri"/>
                <w:b/>
                <w:bCs/>
                <w:color w:val="000000"/>
                <w:sz w:val="18"/>
                <w:szCs w:val="18"/>
              </w:rPr>
              <w:t>£29,500.00</w:t>
            </w:r>
          </w:p>
        </w:tc>
      </w:tr>
      <w:tr w:rsidR="00A3555E" w:rsidRPr="00631A41" w14:paraId="68C7909F" w14:textId="77777777" w:rsidTr="00EC18A6">
        <w:trPr>
          <w:trHeight w:val="340"/>
        </w:trPr>
        <w:tc>
          <w:tcPr>
            <w:tcW w:w="5671" w:type="dxa"/>
            <w:shd w:val="clear" w:color="auto" w:fill="auto"/>
            <w:vAlign w:val="center"/>
          </w:tcPr>
          <w:p w14:paraId="22570618" w14:textId="77777777" w:rsidR="00A3555E" w:rsidRPr="00EC18A6" w:rsidRDefault="00A3555E" w:rsidP="00D13C50">
            <w:pPr>
              <w:rPr>
                <w:sz w:val="18"/>
                <w:szCs w:val="18"/>
              </w:rPr>
            </w:pPr>
            <w:r w:rsidRPr="00EC18A6">
              <w:rPr>
                <w:sz w:val="18"/>
                <w:szCs w:val="18"/>
              </w:rPr>
              <w:t>N: Administrative and support services</w:t>
            </w:r>
          </w:p>
        </w:tc>
        <w:tc>
          <w:tcPr>
            <w:tcW w:w="1078" w:type="dxa"/>
            <w:shd w:val="clear" w:color="auto" w:fill="auto"/>
            <w:vAlign w:val="center"/>
          </w:tcPr>
          <w:p w14:paraId="7F919E75" w14:textId="77777777" w:rsidR="00A3555E" w:rsidRPr="00EC18A6" w:rsidRDefault="00A3555E" w:rsidP="00D13C50">
            <w:pPr>
              <w:jc w:val="center"/>
              <w:rPr>
                <w:rFonts w:cstheme="minorHAnsi"/>
                <w:sz w:val="20"/>
                <w:szCs w:val="20"/>
              </w:rPr>
            </w:pPr>
            <w:r w:rsidRPr="00EC18A6">
              <w:rPr>
                <w:rFonts w:cstheme="minorHAnsi"/>
                <w:sz w:val="20"/>
                <w:szCs w:val="20"/>
              </w:rPr>
              <w:t>162</w:t>
            </w:r>
          </w:p>
        </w:tc>
        <w:tc>
          <w:tcPr>
            <w:tcW w:w="0" w:type="auto"/>
            <w:tcBorders>
              <w:top w:val="single" w:sz="4" w:space="0" w:color="auto"/>
              <w:left w:val="nil"/>
              <w:bottom w:val="single" w:sz="4" w:space="0" w:color="auto"/>
              <w:right w:val="nil"/>
            </w:tcBorders>
            <w:shd w:val="clear" w:color="auto" w:fill="auto"/>
            <w:vAlign w:val="center"/>
          </w:tcPr>
          <w:p w14:paraId="1078E33F"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3.74%</w:t>
            </w:r>
          </w:p>
        </w:tc>
        <w:tc>
          <w:tcPr>
            <w:tcW w:w="0" w:type="auto"/>
            <w:shd w:val="clear" w:color="auto" w:fill="auto"/>
            <w:vAlign w:val="center"/>
          </w:tcPr>
          <w:p w14:paraId="74B1EC6A" w14:textId="77777777" w:rsidR="00A3555E" w:rsidRPr="00EC18A6" w:rsidRDefault="00A3555E" w:rsidP="00D13C50">
            <w:pPr>
              <w:jc w:val="center"/>
              <w:rPr>
                <w:rFonts w:cstheme="minorHAnsi"/>
                <w:b/>
                <w:bCs/>
                <w:sz w:val="18"/>
                <w:szCs w:val="18"/>
              </w:rPr>
            </w:pPr>
            <w:r w:rsidRPr="00EC18A6">
              <w:rPr>
                <w:rFonts w:cs="Calibri"/>
                <w:b/>
                <w:bCs/>
                <w:color w:val="000000"/>
                <w:sz w:val="18"/>
                <w:szCs w:val="18"/>
              </w:rPr>
              <w:t>£40,500.00</w:t>
            </w:r>
          </w:p>
        </w:tc>
      </w:tr>
      <w:tr w:rsidR="00A3555E" w:rsidRPr="00631A41" w14:paraId="663CE72F" w14:textId="77777777" w:rsidTr="00EC18A6">
        <w:trPr>
          <w:trHeight w:val="340"/>
        </w:trPr>
        <w:tc>
          <w:tcPr>
            <w:tcW w:w="5671" w:type="dxa"/>
            <w:shd w:val="clear" w:color="auto" w:fill="auto"/>
            <w:vAlign w:val="center"/>
          </w:tcPr>
          <w:p w14:paraId="4B04162D" w14:textId="4AB9A9ED" w:rsidR="00A3555E" w:rsidRPr="00EC18A6" w:rsidRDefault="00A3555E" w:rsidP="00D13C50">
            <w:pPr>
              <w:rPr>
                <w:sz w:val="18"/>
                <w:szCs w:val="18"/>
              </w:rPr>
            </w:pPr>
            <w:r w:rsidRPr="00EC18A6">
              <w:rPr>
                <w:sz w:val="18"/>
                <w:szCs w:val="18"/>
              </w:rPr>
              <w:t>O: Public administration and d</w:t>
            </w:r>
            <w:r w:rsidR="00F50CDF" w:rsidRPr="00EC18A6">
              <w:rPr>
                <w:sz w:val="18"/>
                <w:szCs w:val="18"/>
              </w:rPr>
              <w:t>e</w:t>
            </w:r>
            <w:r w:rsidRPr="00EC18A6">
              <w:rPr>
                <w:sz w:val="18"/>
                <w:szCs w:val="18"/>
              </w:rPr>
              <w:t>fence</w:t>
            </w:r>
          </w:p>
        </w:tc>
        <w:tc>
          <w:tcPr>
            <w:tcW w:w="1078" w:type="dxa"/>
            <w:shd w:val="clear" w:color="auto" w:fill="auto"/>
            <w:vAlign w:val="center"/>
          </w:tcPr>
          <w:p w14:paraId="76D3A432" w14:textId="77777777" w:rsidR="00A3555E" w:rsidRPr="00EC18A6" w:rsidRDefault="00A3555E" w:rsidP="00D13C50">
            <w:pPr>
              <w:jc w:val="center"/>
              <w:rPr>
                <w:rFonts w:cstheme="minorHAnsi"/>
                <w:sz w:val="20"/>
                <w:szCs w:val="20"/>
              </w:rPr>
            </w:pPr>
            <w:r w:rsidRPr="00EC18A6">
              <w:rPr>
                <w:rFonts w:cstheme="minorHAnsi"/>
                <w:sz w:val="20"/>
                <w:szCs w:val="20"/>
              </w:rPr>
              <w:t>63</w:t>
            </w:r>
          </w:p>
        </w:tc>
        <w:tc>
          <w:tcPr>
            <w:tcW w:w="0" w:type="auto"/>
            <w:tcBorders>
              <w:top w:val="single" w:sz="4" w:space="0" w:color="auto"/>
              <w:left w:val="nil"/>
              <w:bottom w:val="single" w:sz="4" w:space="0" w:color="auto"/>
              <w:right w:val="nil"/>
            </w:tcBorders>
            <w:shd w:val="clear" w:color="auto" w:fill="auto"/>
            <w:vAlign w:val="center"/>
          </w:tcPr>
          <w:p w14:paraId="304F08ED"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1.45%</w:t>
            </w:r>
          </w:p>
        </w:tc>
        <w:tc>
          <w:tcPr>
            <w:tcW w:w="0" w:type="auto"/>
            <w:shd w:val="clear" w:color="auto" w:fill="auto"/>
            <w:vAlign w:val="center"/>
          </w:tcPr>
          <w:p w14:paraId="6C286F26" w14:textId="77777777" w:rsidR="00A3555E" w:rsidRPr="00EC18A6" w:rsidRDefault="00A3555E" w:rsidP="00D13C50">
            <w:pPr>
              <w:jc w:val="center"/>
              <w:rPr>
                <w:rFonts w:cstheme="minorHAnsi"/>
                <w:b/>
                <w:bCs/>
                <w:sz w:val="18"/>
                <w:szCs w:val="18"/>
              </w:rPr>
            </w:pPr>
            <w:r w:rsidRPr="00EC18A6">
              <w:rPr>
                <w:rFonts w:cs="Calibri"/>
                <w:b/>
                <w:bCs/>
                <w:color w:val="000000"/>
                <w:sz w:val="18"/>
                <w:szCs w:val="18"/>
              </w:rPr>
              <w:t>£63,000.00</w:t>
            </w:r>
          </w:p>
        </w:tc>
      </w:tr>
      <w:tr w:rsidR="00A3555E" w:rsidRPr="00631A41" w14:paraId="2399DB71" w14:textId="77777777" w:rsidTr="00EC18A6">
        <w:trPr>
          <w:trHeight w:val="340"/>
        </w:trPr>
        <w:tc>
          <w:tcPr>
            <w:tcW w:w="5671" w:type="dxa"/>
            <w:shd w:val="clear" w:color="auto" w:fill="auto"/>
            <w:vAlign w:val="center"/>
          </w:tcPr>
          <w:p w14:paraId="497DE2F2" w14:textId="77777777" w:rsidR="00A3555E" w:rsidRPr="00EC18A6" w:rsidRDefault="00A3555E" w:rsidP="00D13C50">
            <w:pPr>
              <w:rPr>
                <w:sz w:val="18"/>
                <w:szCs w:val="18"/>
              </w:rPr>
            </w:pPr>
            <w:r w:rsidRPr="00EC18A6">
              <w:rPr>
                <w:sz w:val="18"/>
                <w:szCs w:val="18"/>
              </w:rPr>
              <w:t>P: Education</w:t>
            </w:r>
          </w:p>
        </w:tc>
        <w:tc>
          <w:tcPr>
            <w:tcW w:w="1078" w:type="dxa"/>
            <w:shd w:val="clear" w:color="auto" w:fill="auto"/>
            <w:vAlign w:val="center"/>
          </w:tcPr>
          <w:p w14:paraId="7D7834D4" w14:textId="77777777" w:rsidR="00A3555E" w:rsidRPr="00EC18A6" w:rsidRDefault="00A3555E" w:rsidP="00D13C50">
            <w:pPr>
              <w:jc w:val="center"/>
              <w:rPr>
                <w:rFonts w:cstheme="minorHAnsi"/>
                <w:sz w:val="20"/>
                <w:szCs w:val="20"/>
              </w:rPr>
            </w:pPr>
            <w:r w:rsidRPr="00EC18A6">
              <w:rPr>
                <w:rFonts w:cstheme="minorHAnsi"/>
                <w:sz w:val="20"/>
                <w:szCs w:val="20"/>
              </w:rPr>
              <w:t>149</w:t>
            </w:r>
          </w:p>
        </w:tc>
        <w:tc>
          <w:tcPr>
            <w:tcW w:w="0" w:type="auto"/>
            <w:tcBorders>
              <w:top w:val="single" w:sz="4" w:space="0" w:color="auto"/>
              <w:left w:val="nil"/>
              <w:bottom w:val="single" w:sz="4" w:space="0" w:color="auto"/>
              <w:right w:val="nil"/>
            </w:tcBorders>
            <w:shd w:val="clear" w:color="auto" w:fill="auto"/>
            <w:vAlign w:val="center"/>
          </w:tcPr>
          <w:p w14:paraId="078F9DD5" w14:textId="77777777" w:rsidR="00A3555E" w:rsidRPr="00EC18A6" w:rsidRDefault="00A3555E" w:rsidP="00D13C50">
            <w:pPr>
              <w:jc w:val="center"/>
              <w:rPr>
                <w:rFonts w:cstheme="majorHAnsi"/>
                <w:i/>
                <w:iCs/>
                <w:sz w:val="18"/>
                <w:szCs w:val="18"/>
              </w:rPr>
            </w:pPr>
            <w:r w:rsidRPr="00EC18A6">
              <w:rPr>
                <w:rFonts w:cstheme="majorHAnsi"/>
                <w:i/>
                <w:iCs/>
                <w:sz w:val="18"/>
                <w:szCs w:val="18"/>
              </w:rPr>
              <w:t>3.44%</w:t>
            </w:r>
          </w:p>
        </w:tc>
        <w:tc>
          <w:tcPr>
            <w:tcW w:w="0" w:type="auto"/>
            <w:shd w:val="clear" w:color="auto" w:fill="auto"/>
            <w:vAlign w:val="center"/>
          </w:tcPr>
          <w:p w14:paraId="307F6D89" w14:textId="77777777" w:rsidR="00A3555E" w:rsidRPr="00EC18A6" w:rsidRDefault="00A3555E" w:rsidP="00D13C50">
            <w:pPr>
              <w:jc w:val="center"/>
              <w:rPr>
                <w:b/>
                <w:bCs/>
                <w:sz w:val="18"/>
                <w:szCs w:val="18"/>
              </w:rPr>
            </w:pPr>
            <w:r w:rsidRPr="00EC18A6">
              <w:rPr>
                <w:rFonts w:cs="Calibri"/>
                <w:b/>
                <w:bCs/>
                <w:color w:val="000000"/>
                <w:sz w:val="18"/>
                <w:szCs w:val="18"/>
              </w:rPr>
              <w:t>£33,111.11</w:t>
            </w:r>
          </w:p>
        </w:tc>
      </w:tr>
      <w:tr w:rsidR="00A3555E" w:rsidRPr="00631A41" w14:paraId="2A9B94A3" w14:textId="77777777" w:rsidTr="00EC18A6">
        <w:trPr>
          <w:trHeight w:val="340"/>
        </w:trPr>
        <w:tc>
          <w:tcPr>
            <w:tcW w:w="5671" w:type="dxa"/>
            <w:shd w:val="clear" w:color="auto" w:fill="auto"/>
            <w:vAlign w:val="center"/>
          </w:tcPr>
          <w:p w14:paraId="60843A24" w14:textId="77777777" w:rsidR="00A3555E" w:rsidRPr="00EC18A6" w:rsidRDefault="00A3555E" w:rsidP="00D13C50">
            <w:pPr>
              <w:rPr>
                <w:sz w:val="18"/>
                <w:szCs w:val="18"/>
              </w:rPr>
            </w:pPr>
            <w:r w:rsidRPr="00EC18A6">
              <w:rPr>
                <w:sz w:val="18"/>
                <w:szCs w:val="18"/>
              </w:rPr>
              <w:t>Q: Health and social work</w:t>
            </w:r>
          </w:p>
        </w:tc>
        <w:tc>
          <w:tcPr>
            <w:tcW w:w="1078" w:type="dxa"/>
            <w:shd w:val="clear" w:color="auto" w:fill="auto"/>
            <w:vAlign w:val="center"/>
          </w:tcPr>
          <w:p w14:paraId="4BB76AD8" w14:textId="77777777" w:rsidR="00A3555E" w:rsidRPr="00EC18A6" w:rsidRDefault="00A3555E" w:rsidP="00D13C50">
            <w:pPr>
              <w:jc w:val="center"/>
              <w:rPr>
                <w:rFonts w:cstheme="minorHAnsi"/>
                <w:sz w:val="20"/>
                <w:szCs w:val="20"/>
              </w:rPr>
            </w:pPr>
            <w:r w:rsidRPr="00EC18A6">
              <w:rPr>
                <w:rFonts w:cstheme="minorHAnsi"/>
                <w:sz w:val="20"/>
                <w:szCs w:val="20"/>
              </w:rPr>
              <w:t>129</w:t>
            </w:r>
          </w:p>
        </w:tc>
        <w:tc>
          <w:tcPr>
            <w:tcW w:w="0" w:type="auto"/>
            <w:tcBorders>
              <w:top w:val="single" w:sz="4" w:space="0" w:color="auto"/>
              <w:left w:val="nil"/>
              <w:bottom w:val="single" w:sz="4" w:space="0" w:color="auto"/>
              <w:right w:val="nil"/>
            </w:tcBorders>
            <w:shd w:val="clear" w:color="auto" w:fill="auto"/>
            <w:vAlign w:val="center"/>
          </w:tcPr>
          <w:p w14:paraId="568AAC4C"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2.98%</w:t>
            </w:r>
          </w:p>
        </w:tc>
        <w:tc>
          <w:tcPr>
            <w:tcW w:w="0" w:type="auto"/>
            <w:shd w:val="clear" w:color="auto" w:fill="auto"/>
            <w:vAlign w:val="center"/>
          </w:tcPr>
          <w:p w14:paraId="1A6EE032" w14:textId="77777777" w:rsidR="00A3555E" w:rsidRPr="00EC18A6" w:rsidRDefault="00A3555E" w:rsidP="00D13C50">
            <w:pPr>
              <w:jc w:val="center"/>
              <w:rPr>
                <w:rFonts w:cstheme="minorHAnsi"/>
                <w:b/>
                <w:bCs/>
                <w:sz w:val="18"/>
                <w:szCs w:val="18"/>
              </w:rPr>
            </w:pPr>
            <w:r w:rsidRPr="00EC18A6">
              <w:rPr>
                <w:rFonts w:cs="Calibri"/>
                <w:b/>
                <w:bCs/>
                <w:color w:val="000000"/>
                <w:sz w:val="18"/>
                <w:szCs w:val="18"/>
              </w:rPr>
              <w:t>£18,428.57</w:t>
            </w:r>
          </w:p>
        </w:tc>
      </w:tr>
      <w:tr w:rsidR="00A3555E" w:rsidRPr="00631A41" w14:paraId="3AE13E71" w14:textId="77777777" w:rsidTr="00EC18A6">
        <w:trPr>
          <w:trHeight w:val="340"/>
        </w:trPr>
        <w:tc>
          <w:tcPr>
            <w:tcW w:w="5671" w:type="dxa"/>
            <w:shd w:val="clear" w:color="auto" w:fill="auto"/>
            <w:vAlign w:val="center"/>
          </w:tcPr>
          <w:p w14:paraId="2DA20D14" w14:textId="77777777" w:rsidR="00A3555E" w:rsidRPr="00EC18A6" w:rsidRDefault="00A3555E" w:rsidP="00D13C50">
            <w:pPr>
              <w:rPr>
                <w:sz w:val="18"/>
                <w:szCs w:val="18"/>
              </w:rPr>
            </w:pPr>
            <w:r w:rsidRPr="00EC18A6">
              <w:rPr>
                <w:sz w:val="18"/>
                <w:szCs w:val="18"/>
              </w:rPr>
              <w:t>R: Arts, entertainment and other recreation</w:t>
            </w:r>
          </w:p>
        </w:tc>
        <w:tc>
          <w:tcPr>
            <w:tcW w:w="1078" w:type="dxa"/>
            <w:shd w:val="clear" w:color="auto" w:fill="auto"/>
            <w:vAlign w:val="center"/>
          </w:tcPr>
          <w:p w14:paraId="3CDC8644" w14:textId="77777777" w:rsidR="00A3555E" w:rsidRPr="00EC18A6" w:rsidRDefault="00A3555E" w:rsidP="00D13C50">
            <w:pPr>
              <w:jc w:val="center"/>
              <w:rPr>
                <w:rFonts w:cstheme="minorHAnsi"/>
                <w:sz w:val="20"/>
                <w:szCs w:val="20"/>
              </w:rPr>
            </w:pPr>
            <w:r w:rsidRPr="00EC18A6">
              <w:rPr>
                <w:rFonts w:cstheme="minorHAnsi"/>
                <w:sz w:val="20"/>
                <w:szCs w:val="20"/>
              </w:rPr>
              <w:t>37</w:t>
            </w:r>
          </w:p>
        </w:tc>
        <w:tc>
          <w:tcPr>
            <w:tcW w:w="0" w:type="auto"/>
            <w:tcBorders>
              <w:top w:val="single" w:sz="4" w:space="0" w:color="auto"/>
              <w:left w:val="nil"/>
              <w:bottom w:val="single" w:sz="4" w:space="0" w:color="auto"/>
              <w:right w:val="nil"/>
            </w:tcBorders>
            <w:shd w:val="clear" w:color="auto" w:fill="auto"/>
            <w:vAlign w:val="center"/>
          </w:tcPr>
          <w:p w14:paraId="7317BBE9"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0.85%</w:t>
            </w:r>
          </w:p>
        </w:tc>
        <w:tc>
          <w:tcPr>
            <w:tcW w:w="0" w:type="auto"/>
            <w:shd w:val="clear" w:color="auto" w:fill="auto"/>
            <w:vAlign w:val="center"/>
          </w:tcPr>
          <w:p w14:paraId="19610A9F" w14:textId="77777777" w:rsidR="00A3555E" w:rsidRPr="00EC18A6" w:rsidRDefault="00A3555E" w:rsidP="00D13C50">
            <w:pPr>
              <w:jc w:val="center"/>
              <w:rPr>
                <w:rFonts w:cstheme="minorHAnsi"/>
                <w:b/>
                <w:bCs/>
                <w:sz w:val="18"/>
                <w:szCs w:val="18"/>
              </w:rPr>
            </w:pPr>
            <w:r w:rsidRPr="00EC18A6">
              <w:rPr>
                <w:rFonts w:cs="Calibri"/>
                <w:b/>
                <w:bCs/>
                <w:color w:val="000000"/>
                <w:sz w:val="18"/>
                <w:szCs w:val="18"/>
              </w:rPr>
              <w:t>£21,142.86</w:t>
            </w:r>
          </w:p>
        </w:tc>
      </w:tr>
      <w:tr w:rsidR="00A3555E" w:rsidRPr="00631A41" w14:paraId="185834A7" w14:textId="77777777" w:rsidTr="00EC18A6">
        <w:trPr>
          <w:trHeight w:val="340"/>
        </w:trPr>
        <w:tc>
          <w:tcPr>
            <w:tcW w:w="5671" w:type="dxa"/>
            <w:shd w:val="clear" w:color="auto" w:fill="auto"/>
            <w:vAlign w:val="center"/>
          </w:tcPr>
          <w:p w14:paraId="6E25563B" w14:textId="77777777" w:rsidR="00A3555E" w:rsidRPr="00EC18A6" w:rsidRDefault="00A3555E" w:rsidP="00D13C50">
            <w:pPr>
              <w:rPr>
                <w:sz w:val="18"/>
                <w:szCs w:val="18"/>
              </w:rPr>
            </w:pPr>
            <w:r w:rsidRPr="00EC18A6">
              <w:rPr>
                <w:sz w:val="18"/>
                <w:szCs w:val="18"/>
              </w:rPr>
              <w:t>S: Other services</w:t>
            </w:r>
          </w:p>
        </w:tc>
        <w:tc>
          <w:tcPr>
            <w:tcW w:w="1078" w:type="dxa"/>
            <w:shd w:val="clear" w:color="auto" w:fill="auto"/>
            <w:vAlign w:val="center"/>
          </w:tcPr>
          <w:p w14:paraId="296A05D4" w14:textId="77777777" w:rsidR="00A3555E" w:rsidRPr="00EC18A6" w:rsidRDefault="00A3555E" w:rsidP="00D13C50">
            <w:pPr>
              <w:jc w:val="center"/>
              <w:rPr>
                <w:rFonts w:cstheme="minorHAnsi"/>
                <w:sz w:val="20"/>
                <w:szCs w:val="20"/>
              </w:rPr>
            </w:pPr>
            <w:r w:rsidRPr="00EC18A6">
              <w:rPr>
                <w:rFonts w:cstheme="minorHAnsi"/>
                <w:sz w:val="20"/>
                <w:szCs w:val="20"/>
              </w:rPr>
              <w:t>121</w:t>
            </w:r>
          </w:p>
        </w:tc>
        <w:tc>
          <w:tcPr>
            <w:tcW w:w="0" w:type="auto"/>
            <w:tcBorders>
              <w:top w:val="single" w:sz="4" w:space="0" w:color="auto"/>
              <w:left w:val="nil"/>
              <w:bottom w:val="single" w:sz="4" w:space="0" w:color="auto"/>
              <w:right w:val="nil"/>
            </w:tcBorders>
            <w:shd w:val="clear" w:color="auto" w:fill="auto"/>
            <w:vAlign w:val="center"/>
          </w:tcPr>
          <w:p w14:paraId="636E5B2C" w14:textId="77777777" w:rsidR="00A3555E" w:rsidRPr="00EC18A6" w:rsidRDefault="00A3555E" w:rsidP="00D13C50">
            <w:pPr>
              <w:jc w:val="center"/>
              <w:rPr>
                <w:rFonts w:cstheme="majorHAnsi"/>
                <w:i/>
                <w:iCs/>
                <w:color w:val="000000"/>
                <w:sz w:val="18"/>
                <w:szCs w:val="18"/>
              </w:rPr>
            </w:pPr>
            <w:r w:rsidRPr="00EC18A6">
              <w:rPr>
                <w:rFonts w:cstheme="majorHAnsi"/>
                <w:i/>
                <w:iCs/>
                <w:sz w:val="18"/>
                <w:szCs w:val="18"/>
              </w:rPr>
              <w:t>2.79%</w:t>
            </w:r>
          </w:p>
        </w:tc>
        <w:tc>
          <w:tcPr>
            <w:tcW w:w="0" w:type="auto"/>
            <w:shd w:val="clear" w:color="auto" w:fill="auto"/>
            <w:vAlign w:val="bottom"/>
          </w:tcPr>
          <w:p w14:paraId="07F68BA7" w14:textId="77777777" w:rsidR="00A3555E" w:rsidRPr="00EC18A6" w:rsidRDefault="00A3555E" w:rsidP="00D13C50">
            <w:pPr>
              <w:jc w:val="center"/>
              <w:rPr>
                <w:rFonts w:cstheme="minorHAnsi"/>
                <w:b/>
                <w:bCs/>
                <w:sz w:val="18"/>
                <w:szCs w:val="18"/>
              </w:rPr>
            </w:pPr>
            <w:r w:rsidRPr="00EC18A6">
              <w:rPr>
                <w:rFonts w:cs="Calibri"/>
                <w:b/>
                <w:bCs/>
                <w:color w:val="000000"/>
                <w:sz w:val="18"/>
                <w:szCs w:val="18"/>
              </w:rPr>
              <w:t xml:space="preserve"> £69,142.86 </w:t>
            </w:r>
          </w:p>
        </w:tc>
      </w:tr>
    </w:tbl>
    <w:p w14:paraId="4E19E8A3" w14:textId="77777777" w:rsidR="00D951E8" w:rsidRPr="00D951E8" w:rsidRDefault="00D951E8" w:rsidP="00D951E8">
      <w:pPr>
        <w:spacing w:before="86" w:after="0"/>
        <w:jc w:val="left"/>
        <w:textAlignment w:val="baseline"/>
        <w:rPr>
          <w:rFonts w:eastAsia="Verdana"/>
          <w:color w:val="FF0000"/>
          <w:sz w:val="22"/>
          <w:szCs w:val="22"/>
        </w:rPr>
      </w:pPr>
    </w:p>
    <w:p w14:paraId="65DC282C" w14:textId="1CD7A6A0" w:rsidR="007E2539" w:rsidRPr="00610EF3" w:rsidRDefault="00EE7A08" w:rsidP="00610EF3">
      <w:pPr>
        <w:pStyle w:val="ListParagraph"/>
        <w:numPr>
          <w:ilvl w:val="1"/>
          <w:numId w:val="20"/>
        </w:numPr>
        <w:contextualSpacing w:val="0"/>
        <w:jc w:val="left"/>
        <w:textAlignment w:val="baseline"/>
        <w:rPr>
          <w:rFonts w:eastAsia="Verdana"/>
          <w:sz w:val="22"/>
          <w:szCs w:val="22"/>
        </w:rPr>
      </w:pPr>
      <w:r w:rsidRPr="00E55171">
        <w:rPr>
          <w:b/>
          <w:i/>
          <w:iCs/>
          <w:sz w:val="22"/>
          <w:szCs w:val="22"/>
        </w:rPr>
        <w:t xml:space="preserve">Business </w:t>
      </w:r>
      <w:r w:rsidR="00335BD9" w:rsidRPr="00E55171">
        <w:rPr>
          <w:b/>
          <w:i/>
          <w:iCs/>
          <w:sz w:val="22"/>
          <w:szCs w:val="22"/>
        </w:rPr>
        <w:t>N</w:t>
      </w:r>
      <w:r w:rsidRPr="00E55171">
        <w:rPr>
          <w:b/>
          <w:i/>
          <w:iCs/>
          <w:sz w:val="22"/>
          <w:szCs w:val="22"/>
        </w:rPr>
        <w:t>umbers</w:t>
      </w:r>
      <w:r w:rsidR="004376A5" w:rsidRPr="00A57EA1">
        <w:rPr>
          <w:rStyle w:val="EndnoteReference"/>
          <w:b/>
          <w:sz w:val="22"/>
          <w:szCs w:val="22"/>
        </w:rPr>
        <w:endnoteReference w:id="30"/>
      </w:r>
    </w:p>
    <w:p w14:paraId="65A5136D" w14:textId="5F973557" w:rsidR="000223A1" w:rsidRPr="00610EF3" w:rsidRDefault="00416229" w:rsidP="00610EF3">
      <w:pPr>
        <w:pStyle w:val="ListParagraph"/>
        <w:numPr>
          <w:ilvl w:val="3"/>
          <w:numId w:val="20"/>
        </w:numPr>
        <w:ind w:left="709" w:right="421" w:hanging="709"/>
        <w:contextualSpacing w:val="0"/>
        <w:jc w:val="left"/>
        <w:rPr>
          <w:sz w:val="22"/>
          <w:szCs w:val="22"/>
        </w:rPr>
      </w:pPr>
      <w:r w:rsidRPr="00A57EA1">
        <w:rPr>
          <w:sz w:val="22"/>
          <w:szCs w:val="22"/>
        </w:rPr>
        <w:t>In December 202</w:t>
      </w:r>
      <w:r w:rsidR="00060088" w:rsidRPr="00A57EA1">
        <w:rPr>
          <w:sz w:val="22"/>
          <w:szCs w:val="22"/>
        </w:rPr>
        <w:t>1</w:t>
      </w:r>
      <w:r w:rsidR="008B2AB1" w:rsidRPr="00A57EA1">
        <w:rPr>
          <w:sz w:val="22"/>
          <w:szCs w:val="22"/>
        </w:rPr>
        <w:t xml:space="preserve">, the number of </w:t>
      </w:r>
      <w:r w:rsidR="00FF41C9" w:rsidRPr="00A57EA1">
        <w:rPr>
          <w:sz w:val="22"/>
          <w:szCs w:val="22"/>
        </w:rPr>
        <w:t>businesses</w:t>
      </w:r>
      <w:r w:rsidR="008B2AB1" w:rsidRPr="00A57EA1">
        <w:rPr>
          <w:sz w:val="22"/>
          <w:szCs w:val="22"/>
        </w:rPr>
        <w:t xml:space="preserve"> in the </w:t>
      </w:r>
      <w:r w:rsidR="001D61F1" w:rsidRPr="00A57EA1">
        <w:rPr>
          <w:sz w:val="22"/>
          <w:szCs w:val="22"/>
        </w:rPr>
        <w:t>District</w:t>
      </w:r>
      <w:r w:rsidR="008B2AB1" w:rsidRPr="00A57EA1">
        <w:rPr>
          <w:sz w:val="22"/>
          <w:szCs w:val="22"/>
        </w:rPr>
        <w:t xml:space="preserve"> stood at </w:t>
      </w:r>
      <w:r w:rsidR="008161C1" w:rsidRPr="00A57EA1">
        <w:rPr>
          <w:sz w:val="22"/>
          <w:szCs w:val="22"/>
        </w:rPr>
        <w:t>8,290</w:t>
      </w:r>
      <w:r w:rsidR="00AF144D" w:rsidRPr="00A57EA1">
        <w:rPr>
          <w:sz w:val="22"/>
          <w:szCs w:val="22"/>
        </w:rPr>
        <w:t xml:space="preserve"> enterprises</w:t>
      </w:r>
      <w:r w:rsidR="004376A5" w:rsidRPr="00A57EA1">
        <w:rPr>
          <w:sz w:val="22"/>
          <w:szCs w:val="22"/>
        </w:rPr>
        <w:t>.</w:t>
      </w:r>
      <w:r w:rsidR="00B44C80" w:rsidRPr="00A57EA1">
        <w:rPr>
          <w:sz w:val="22"/>
          <w:szCs w:val="22"/>
        </w:rPr>
        <w:t xml:space="preserve"> </w:t>
      </w:r>
      <w:r w:rsidR="0093671E" w:rsidRPr="00A57EA1">
        <w:rPr>
          <w:sz w:val="22"/>
          <w:szCs w:val="22"/>
        </w:rPr>
        <w:t>90.2</w:t>
      </w:r>
      <w:r w:rsidR="004376A5" w:rsidRPr="00A57EA1">
        <w:rPr>
          <w:sz w:val="22"/>
          <w:szCs w:val="22"/>
        </w:rPr>
        <w:t xml:space="preserve">% of these were classed as micro-businesses (0-9 employees). There were </w:t>
      </w:r>
      <w:r w:rsidR="0093671E" w:rsidRPr="00A57EA1">
        <w:rPr>
          <w:sz w:val="22"/>
          <w:szCs w:val="22"/>
        </w:rPr>
        <w:t>20</w:t>
      </w:r>
      <w:r w:rsidR="004376A5" w:rsidRPr="00A57EA1">
        <w:rPr>
          <w:sz w:val="22"/>
          <w:szCs w:val="22"/>
        </w:rPr>
        <w:t xml:space="preserve"> large businesses (over 250 employees). </w:t>
      </w:r>
    </w:p>
    <w:p w14:paraId="57AE890D" w14:textId="14E842A6" w:rsidR="00335BD9" w:rsidRPr="00610EF3" w:rsidRDefault="004376A5" w:rsidP="00610EF3">
      <w:pPr>
        <w:pStyle w:val="ListParagraph"/>
        <w:numPr>
          <w:ilvl w:val="3"/>
          <w:numId w:val="20"/>
        </w:numPr>
        <w:ind w:left="709" w:right="421" w:hanging="709"/>
        <w:contextualSpacing w:val="0"/>
        <w:jc w:val="left"/>
        <w:rPr>
          <w:sz w:val="22"/>
          <w:szCs w:val="22"/>
        </w:rPr>
      </w:pPr>
      <w:r w:rsidRPr="000223A1">
        <w:rPr>
          <w:sz w:val="22"/>
          <w:szCs w:val="22"/>
        </w:rPr>
        <w:t xml:space="preserve">The break-down of businesses by size reflected the averages for </w:t>
      </w:r>
      <w:r w:rsidR="00060088" w:rsidRPr="000223A1">
        <w:rPr>
          <w:sz w:val="22"/>
          <w:szCs w:val="22"/>
        </w:rPr>
        <w:t xml:space="preserve">the district versus </w:t>
      </w:r>
      <w:r w:rsidRPr="000223A1">
        <w:rPr>
          <w:sz w:val="22"/>
          <w:szCs w:val="22"/>
        </w:rPr>
        <w:t>Warw</w:t>
      </w:r>
      <w:r w:rsidR="00724B12" w:rsidRPr="000223A1">
        <w:rPr>
          <w:sz w:val="22"/>
          <w:szCs w:val="22"/>
        </w:rPr>
        <w:t xml:space="preserve">ickshire and England as a whole, as can be seen in </w:t>
      </w:r>
      <w:r w:rsidR="00060088" w:rsidRPr="000223A1">
        <w:rPr>
          <w:sz w:val="22"/>
          <w:szCs w:val="22"/>
        </w:rPr>
        <w:t>T</w:t>
      </w:r>
      <w:r w:rsidR="00724B12" w:rsidRPr="000223A1">
        <w:rPr>
          <w:sz w:val="22"/>
          <w:szCs w:val="22"/>
        </w:rPr>
        <w:t xml:space="preserve">able </w:t>
      </w:r>
      <w:r w:rsidR="00060088" w:rsidRPr="000223A1">
        <w:rPr>
          <w:sz w:val="22"/>
          <w:szCs w:val="22"/>
        </w:rPr>
        <w:t xml:space="preserve">10 </w:t>
      </w:r>
      <w:r w:rsidR="00724B12" w:rsidRPr="000223A1">
        <w:rPr>
          <w:sz w:val="22"/>
          <w:szCs w:val="22"/>
        </w:rPr>
        <w:t>below.</w:t>
      </w:r>
    </w:p>
    <w:p w14:paraId="54E1C014" w14:textId="0D4B521F" w:rsidR="00060088" w:rsidRPr="008D7D3E" w:rsidRDefault="00060088" w:rsidP="00610EF3">
      <w:pPr>
        <w:pStyle w:val="Caption"/>
        <w:keepNext/>
        <w:spacing w:after="120"/>
        <w:ind w:hanging="11"/>
        <w:rPr>
          <w:i w:val="0"/>
          <w:iCs w:val="0"/>
          <w:color w:val="auto"/>
          <w:sz w:val="22"/>
          <w:szCs w:val="22"/>
        </w:rPr>
      </w:pPr>
      <w:r w:rsidRPr="008D7D3E">
        <w:rPr>
          <w:i w:val="0"/>
          <w:iCs w:val="0"/>
          <w:color w:val="auto"/>
          <w:sz w:val="22"/>
          <w:szCs w:val="22"/>
        </w:rPr>
        <w:t xml:space="preserve">Table </w:t>
      </w:r>
      <w:r w:rsidR="00F61229" w:rsidRPr="008D7D3E">
        <w:rPr>
          <w:i w:val="0"/>
          <w:iCs w:val="0"/>
          <w:color w:val="auto"/>
          <w:sz w:val="22"/>
          <w:szCs w:val="22"/>
        </w:rPr>
        <w:fldChar w:fldCharType="begin"/>
      </w:r>
      <w:r w:rsidR="00F61229" w:rsidRPr="008D7D3E">
        <w:rPr>
          <w:i w:val="0"/>
          <w:iCs w:val="0"/>
          <w:color w:val="auto"/>
          <w:sz w:val="22"/>
          <w:szCs w:val="22"/>
        </w:rPr>
        <w:instrText xml:space="preserve"> SEQ Table \* ARABIC </w:instrText>
      </w:r>
      <w:r w:rsidR="00F61229" w:rsidRPr="008D7D3E">
        <w:rPr>
          <w:i w:val="0"/>
          <w:iCs w:val="0"/>
          <w:color w:val="auto"/>
          <w:sz w:val="22"/>
          <w:szCs w:val="22"/>
        </w:rPr>
        <w:fldChar w:fldCharType="separate"/>
      </w:r>
      <w:r w:rsidR="00E94700" w:rsidRPr="008D7D3E">
        <w:rPr>
          <w:i w:val="0"/>
          <w:iCs w:val="0"/>
          <w:noProof/>
          <w:color w:val="auto"/>
          <w:sz w:val="22"/>
          <w:szCs w:val="22"/>
        </w:rPr>
        <w:t>10</w:t>
      </w:r>
      <w:r w:rsidR="00F61229" w:rsidRPr="008D7D3E">
        <w:rPr>
          <w:i w:val="0"/>
          <w:iCs w:val="0"/>
          <w:noProof/>
          <w:color w:val="auto"/>
          <w:sz w:val="22"/>
          <w:szCs w:val="22"/>
        </w:rPr>
        <w:fldChar w:fldCharType="end"/>
      </w:r>
    </w:p>
    <w:tbl>
      <w:tblPr>
        <w:tblStyle w:val="TableGrid"/>
        <w:tblW w:w="9214" w:type="dxa"/>
        <w:tblInd w:w="-5" w:type="dxa"/>
        <w:tblLayout w:type="fixed"/>
        <w:tblLook w:val="04A0" w:firstRow="1" w:lastRow="0" w:firstColumn="1" w:lastColumn="0" w:noHBand="0" w:noVBand="1"/>
      </w:tblPr>
      <w:tblGrid>
        <w:gridCol w:w="2243"/>
        <w:gridCol w:w="1161"/>
        <w:gridCol w:w="991"/>
        <w:gridCol w:w="1134"/>
        <w:gridCol w:w="992"/>
        <w:gridCol w:w="1701"/>
        <w:gridCol w:w="992"/>
      </w:tblGrid>
      <w:tr w:rsidR="00060088" w:rsidRPr="00060088" w14:paraId="3B346BFE" w14:textId="77777777" w:rsidTr="00B96D1A">
        <w:tc>
          <w:tcPr>
            <w:tcW w:w="2243" w:type="dxa"/>
          </w:tcPr>
          <w:p w14:paraId="5DCCAC4F" w14:textId="77777777" w:rsidR="00724B12" w:rsidRPr="0065724D" w:rsidRDefault="00724B12" w:rsidP="00724B12">
            <w:pPr>
              <w:spacing w:after="0"/>
              <w:ind w:left="0" w:firstLine="0"/>
              <w:rPr>
                <w:sz w:val="20"/>
                <w:szCs w:val="20"/>
              </w:rPr>
            </w:pPr>
          </w:p>
        </w:tc>
        <w:tc>
          <w:tcPr>
            <w:tcW w:w="2152" w:type="dxa"/>
            <w:gridSpan w:val="2"/>
          </w:tcPr>
          <w:p w14:paraId="0FFB44D1" w14:textId="77777777" w:rsidR="00724B12" w:rsidRPr="0065724D" w:rsidRDefault="00724B12" w:rsidP="00724B12">
            <w:pPr>
              <w:spacing w:after="0"/>
              <w:ind w:left="0" w:firstLine="0"/>
              <w:jc w:val="center"/>
              <w:rPr>
                <w:b/>
                <w:sz w:val="20"/>
                <w:szCs w:val="20"/>
              </w:rPr>
            </w:pPr>
            <w:r w:rsidRPr="0065724D">
              <w:rPr>
                <w:b/>
                <w:sz w:val="20"/>
                <w:szCs w:val="20"/>
              </w:rPr>
              <w:t>Stratford-on-Avon</w:t>
            </w:r>
          </w:p>
        </w:tc>
        <w:tc>
          <w:tcPr>
            <w:tcW w:w="2126" w:type="dxa"/>
            <w:gridSpan w:val="2"/>
          </w:tcPr>
          <w:p w14:paraId="358BD1E7" w14:textId="77777777" w:rsidR="00724B12" w:rsidRPr="0065724D" w:rsidRDefault="00724B12" w:rsidP="00724B12">
            <w:pPr>
              <w:spacing w:after="0"/>
              <w:ind w:left="0" w:firstLine="0"/>
              <w:jc w:val="center"/>
              <w:rPr>
                <w:b/>
                <w:sz w:val="20"/>
                <w:szCs w:val="20"/>
              </w:rPr>
            </w:pPr>
            <w:r w:rsidRPr="0065724D">
              <w:rPr>
                <w:b/>
                <w:sz w:val="20"/>
                <w:szCs w:val="20"/>
              </w:rPr>
              <w:t>Warwickshire</w:t>
            </w:r>
          </w:p>
        </w:tc>
        <w:tc>
          <w:tcPr>
            <w:tcW w:w="2693" w:type="dxa"/>
            <w:gridSpan w:val="2"/>
          </w:tcPr>
          <w:p w14:paraId="50006BCD" w14:textId="77777777" w:rsidR="00724B12" w:rsidRPr="0065724D" w:rsidRDefault="00724B12" w:rsidP="00724B12">
            <w:pPr>
              <w:spacing w:after="0"/>
              <w:ind w:left="0" w:firstLine="0"/>
              <w:jc w:val="center"/>
              <w:rPr>
                <w:b/>
                <w:sz w:val="20"/>
                <w:szCs w:val="20"/>
              </w:rPr>
            </w:pPr>
            <w:r w:rsidRPr="0065724D">
              <w:rPr>
                <w:b/>
                <w:sz w:val="20"/>
                <w:szCs w:val="20"/>
              </w:rPr>
              <w:t>England</w:t>
            </w:r>
          </w:p>
        </w:tc>
      </w:tr>
      <w:tr w:rsidR="00060088" w:rsidRPr="00060088" w14:paraId="3CB38BD5" w14:textId="77777777" w:rsidTr="00B96D1A">
        <w:tc>
          <w:tcPr>
            <w:tcW w:w="2243" w:type="dxa"/>
          </w:tcPr>
          <w:p w14:paraId="651FC4EA" w14:textId="77777777" w:rsidR="00724B12" w:rsidRPr="0065724D" w:rsidRDefault="00724B12" w:rsidP="00724B12">
            <w:pPr>
              <w:spacing w:after="0"/>
              <w:ind w:left="0" w:firstLine="0"/>
              <w:rPr>
                <w:sz w:val="20"/>
                <w:szCs w:val="20"/>
              </w:rPr>
            </w:pPr>
          </w:p>
        </w:tc>
        <w:tc>
          <w:tcPr>
            <w:tcW w:w="1161" w:type="dxa"/>
          </w:tcPr>
          <w:p w14:paraId="0ED23674" w14:textId="77777777" w:rsidR="00724B12" w:rsidRPr="0065724D" w:rsidRDefault="00724B12" w:rsidP="00724B12">
            <w:pPr>
              <w:spacing w:after="0"/>
              <w:ind w:left="0" w:firstLine="0"/>
              <w:jc w:val="center"/>
              <w:rPr>
                <w:i/>
                <w:sz w:val="20"/>
                <w:szCs w:val="20"/>
              </w:rPr>
            </w:pPr>
            <w:r w:rsidRPr="0065724D">
              <w:rPr>
                <w:i/>
                <w:sz w:val="20"/>
                <w:szCs w:val="20"/>
              </w:rPr>
              <w:t>Count</w:t>
            </w:r>
          </w:p>
        </w:tc>
        <w:tc>
          <w:tcPr>
            <w:tcW w:w="991" w:type="dxa"/>
          </w:tcPr>
          <w:p w14:paraId="317FB3C4" w14:textId="77777777" w:rsidR="00724B12" w:rsidRPr="0065724D" w:rsidRDefault="00724B12" w:rsidP="00724B12">
            <w:pPr>
              <w:spacing w:after="0"/>
              <w:ind w:left="0" w:firstLine="0"/>
              <w:jc w:val="center"/>
              <w:rPr>
                <w:i/>
                <w:sz w:val="20"/>
                <w:szCs w:val="20"/>
              </w:rPr>
            </w:pPr>
            <w:r w:rsidRPr="0065724D">
              <w:rPr>
                <w:i/>
                <w:sz w:val="20"/>
                <w:szCs w:val="20"/>
              </w:rPr>
              <w:t>%</w:t>
            </w:r>
          </w:p>
        </w:tc>
        <w:tc>
          <w:tcPr>
            <w:tcW w:w="1134" w:type="dxa"/>
          </w:tcPr>
          <w:p w14:paraId="0B2045D1" w14:textId="77777777" w:rsidR="00724B12" w:rsidRPr="0065724D" w:rsidRDefault="00724B12" w:rsidP="00724B12">
            <w:pPr>
              <w:spacing w:after="0"/>
              <w:ind w:left="0" w:firstLine="0"/>
              <w:jc w:val="center"/>
              <w:rPr>
                <w:i/>
                <w:sz w:val="20"/>
                <w:szCs w:val="20"/>
              </w:rPr>
            </w:pPr>
            <w:r w:rsidRPr="0065724D">
              <w:rPr>
                <w:i/>
                <w:sz w:val="20"/>
                <w:szCs w:val="20"/>
              </w:rPr>
              <w:t>Count</w:t>
            </w:r>
          </w:p>
        </w:tc>
        <w:tc>
          <w:tcPr>
            <w:tcW w:w="992" w:type="dxa"/>
          </w:tcPr>
          <w:p w14:paraId="70230DB5" w14:textId="77777777" w:rsidR="00724B12" w:rsidRPr="0065724D" w:rsidRDefault="00724B12" w:rsidP="00724B12">
            <w:pPr>
              <w:spacing w:after="0"/>
              <w:ind w:left="0" w:firstLine="0"/>
              <w:jc w:val="center"/>
              <w:rPr>
                <w:i/>
                <w:sz w:val="20"/>
                <w:szCs w:val="20"/>
              </w:rPr>
            </w:pPr>
            <w:r w:rsidRPr="0065724D">
              <w:rPr>
                <w:i/>
                <w:sz w:val="20"/>
                <w:szCs w:val="20"/>
              </w:rPr>
              <w:t>%</w:t>
            </w:r>
          </w:p>
        </w:tc>
        <w:tc>
          <w:tcPr>
            <w:tcW w:w="1701" w:type="dxa"/>
          </w:tcPr>
          <w:p w14:paraId="0BD1CE18" w14:textId="77777777" w:rsidR="00724B12" w:rsidRPr="0065724D" w:rsidRDefault="00724B12" w:rsidP="00724B12">
            <w:pPr>
              <w:spacing w:after="0"/>
              <w:ind w:left="0" w:firstLine="0"/>
              <w:jc w:val="center"/>
              <w:rPr>
                <w:i/>
                <w:sz w:val="20"/>
                <w:szCs w:val="20"/>
              </w:rPr>
            </w:pPr>
            <w:r w:rsidRPr="0065724D">
              <w:rPr>
                <w:i/>
                <w:sz w:val="20"/>
                <w:szCs w:val="20"/>
              </w:rPr>
              <w:t>Count</w:t>
            </w:r>
          </w:p>
        </w:tc>
        <w:tc>
          <w:tcPr>
            <w:tcW w:w="992" w:type="dxa"/>
          </w:tcPr>
          <w:p w14:paraId="0ADC3395" w14:textId="77777777" w:rsidR="00724B12" w:rsidRPr="0065724D" w:rsidRDefault="00724B12" w:rsidP="00724B12">
            <w:pPr>
              <w:spacing w:after="0"/>
              <w:ind w:left="0" w:firstLine="0"/>
              <w:jc w:val="center"/>
              <w:rPr>
                <w:i/>
                <w:sz w:val="20"/>
                <w:szCs w:val="20"/>
              </w:rPr>
            </w:pPr>
            <w:r w:rsidRPr="0065724D">
              <w:rPr>
                <w:i/>
                <w:sz w:val="20"/>
                <w:szCs w:val="20"/>
              </w:rPr>
              <w:t>%</w:t>
            </w:r>
          </w:p>
        </w:tc>
      </w:tr>
      <w:tr w:rsidR="00060088" w:rsidRPr="00060088" w14:paraId="6EC00562" w14:textId="77777777" w:rsidTr="00B96D1A">
        <w:tc>
          <w:tcPr>
            <w:tcW w:w="2243" w:type="dxa"/>
          </w:tcPr>
          <w:p w14:paraId="4F0846C4" w14:textId="77777777" w:rsidR="00724B12" w:rsidRPr="0065724D" w:rsidRDefault="00724B12" w:rsidP="00724B12">
            <w:pPr>
              <w:spacing w:after="0"/>
              <w:ind w:left="0" w:firstLine="0"/>
              <w:rPr>
                <w:sz w:val="20"/>
                <w:szCs w:val="20"/>
              </w:rPr>
            </w:pPr>
            <w:r w:rsidRPr="0065724D">
              <w:rPr>
                <w:sz w:val="20"/>
                <w:szCs w:val="20"/>
              </w:rPr>
              <w:t>Large (250+)</w:t>
            </w:r>
          </w:p>
        </w:tc>
        <w:tc>
          <w:tcPr>
            <w:tcW w:w="1161" w:type="dxa"/>
          </w:tcPr>
          <w:p w14:paraId="0B8FA59F" w14:textId="26FADBEF" w:rsidR="00724B12" w:rsidRPr="0065724D" w:rsidRDefault="00F50CDF" w:rsidP="00724B12">
            <w:pPr>
              <w:spacing w:after="0"/>
              <w:ind w:left="0" w:firstLine="0"/>
              <w:jc w:val="center"/>
              <w:rPr>
                <w:sz w:val="20"/>
                <w:szCs w:val="20"/>
              </w:rPr>
            </w:pPr>
            <w:r w:rsidRPr="0065724D">
              <w:rPr>
                <w:sz w:val="20"/>
                <w:szCs w:val="20"/>
              </w:rPr>
              <w:t>20</w:t>
            </w:r>
          </w:p>
        </w:tc>
        <w:tc>
          <w:tcPr>
            <w:tcW w:w="991" w:type="dxa"/>
          </w:tcPr>
          <w:p w14:paraId="20D18521" w14:textId="78A2A5E0" w:rsidR="00724B12" w:rsidRPr="0065724D" w:rsidRDefault="00724B12" w:rsidP="00724B12">
            <w:pPr>
              <w:spacing w:after="0"/>
              <w:ind w:left="0" w:firstLine="0"/>
              <w:jc w:val="center"/>
              <w:rPr>
                <w:sz w:val="20"/>
                <w:szCs w:val="20"/>
              </w:rPr>
            </w:pPr>
            <w:r w:rsidRPr="0065724D">
              <w:rPr>
                <w:sz w:val="20"/>
                <w:szCs w:val="20"/>
              </w:rPr>
              <w:t>0.2</w:t>
            </w:r>
          </w:p>
        </w:tc>
        <w:tc>
          <w:tcPr>
            <w:tcW w:w="1134" w:type="dxa"/>
          </w:tcPr>
          <w:p w14:paraId="20ECF797" w14:textId="0EBC7FF6" w:rsidR="00724B12" w:rsidRPr="0065724D" w:rsidRDefault="00416229" w:rsidP="00724B12">
            <w:pPr>
              <w:spacing w:after="0"/>
              <w:ind w:left="0" w:firstLine="0"/>
              <w:jc w:val="center"/>
              <w:rPr>
                <w:sz w:val="20"/>
                <w:szCs w:val="20"/>
              </w:rPr>
            </w:pPr>
            <w:r w:rsidRPr="0065724D">
              <w:rPr>
                <w:sz w:val="20"/>
                <w:szCs w:val="20"/>
              </w:rPr>
              <w:t>125</w:t>
            </w:r>
          </w:p>
        </w:tc>
        <w:tc>
          <w:tcPr>
            <w:tcW w:w="992" w:type="dxa"/>
          </w:tcPr>
          <w:p w14:paraId="3DE322F6" w14:textId="7646334B" w:rsidR="00724B12" w:rsidRPr="0065724D" w:rsidRDefault="00724B12" w:rsidP="00724B12">
            <w:pPr>
              <w:spacing w:after="0"/>
              <w:ind w:left="0" w:firstLine="0"/>
              <w:jc w:val="center"/>
              <w:rPr>
                <w:sz w:val="20"/>
                <w:szCs w:val="20"/>
              </w:rPr>
            </w:pPr>
            <w:r w:rsidRPr="0065724D">
              <w:rPr>
                <w:sz w:val="20"/>
                <w:szCs w:val="20"/>
              </w:rPr>
              <w:t>0.</w:t>
            </w:r>
            <w:r w:rsidR="00416229" w:rsidRPr="0065724D">
              <w:rPr>
                <w:sz w:val="20"/>
                <w:szCs w:val="20"/>
              </w:rPr>
              <w:t>4</w:t>
            </w:r>
            <w:r w:rsidR="00C52C52" w:rsidRPr="0065724D">
              <w:rPr>
                <w:sz w:val="20"/>
                <w:szCs w:val="20"/>
              </w:rPr>
              <w:t>5</w:t>
            </w:r>
          </w:p>
        </w:tc>
        <w:tc>
          <w:tcPr>
            <w:tcW w:w="1701" w:type="dxa"/>
          </w:tcPr>
          <w:p w14:paraId="4DC11FAB" w14:textId="4CCE7789" w:rsidR="00724B12" w:rsidRPr="0065724D" w:rsidRDefault="00416229" w:rsidP="00724B12">
            <w:pPr>
              <w:spacing w:after="0"/>
              <w:ind w:left="0" w:firstLine="0"/>
              <w:jc w:val="center"/>
              <w:rPr>
                <w:sz w:val="20"/>
                <w:szCs w:val="20"/>
              </w:rPr>
            </w:pPr>
            <w:r w:rsidRPr="0065724D">
              <w:rPr>
                <w:sz w:val="20"/>
                <w:szCs w:val="20"/>
              </w:rPr>
              <w:t>9,</w:t>
            </w:r>
            <w:r w:rsidR="00AE537A" w:rsidRPr="0065724D">
              <w:rPr>
                <w:sz w:val="20"/>
                <w:szCs w:val="20"/>
              </w:rPr>
              <w:t>305</w:t>
            </w:r>
          </w:p>
        </w:tc>
        <w:tc>
          <w:tcPr>
            <w:tcW w:w="992" w:type="dxa"/>
          </w:tcPr>
          <w:p w14:paraId="04E8B6F8" w14:textId="75805614" w:rsidR="00724B12" w:rsidRPr="0065724D" w:rsidRDefault="00724B12" w:rsidP="00724B12">
            <w:pPr>
              <w:spacing w:after="0"/>
              <w:ind w:left="0" w:firstLine="0"/>
              <w:jc w:val="center"/>
              <w:rPr>
                <w:sz w:val="20"/>
                <w:szCs w:val="20"/>
              </w:rPr>
            </w:pPr>
            <w:r w:rsidRPr="0065724D">
              <w:rPr>
                <w:sz w:val="20"/>
                <w:szCs w:val="20"/>
              </w:rPr>
              <w:t>0.</w:t>
            </w:r>
            <w:r w:rsidR="00462784" w:rsidRPr="0065724D">
              <w:rPr>
                <w:sz w:val="20"/>
                <w:szCs w:val="20"/>
              </w:rPr>
              <w:t>39</w:t>
            </w:r>
          </w:p>
        </w:tc>
      </w:tr>
      <w:tr w:rsidR="00060088" w:rsidRPr="00060088" w14:paraId="20077D71" w14:textId="77777777" w:rsidTr="00B96D1A">
        <w:tc>
          <w:tcPr>
            <w:tcW w:w="2243" w:type="dxa"/>
            <w:shd w:val="clear" w:color="auto" w:fill="D9D9D9" w:themeFill="background1" w:themeFillShade="D9"/>
          </w:tcPr>
          <w:p w14:paraId="579B70C5" w14:textId="77777777" w:rsidR="00724B12" w:rsidRPr="0065724D" w:rsidRDefault="00724B12" w:rsidP="00A97E91">
            <w:pPr>
              <w:spacing w:after="0"/>
              <w:ind w:left="0" w:firstLine="0"/>
              <w:jc w:val="left"/>
              <w:rPr>
                <w:sz w:val="20"/>
                <w:szCs w:val="20"/>
              </w:rPr>
            </w:pPr>
            <w:r w:rsidRPr="0065724D">
              <w:rPr>
                <w:sz w:val="20"/>
                <w:szCs w:val="20"/>
              </w:rPr>
              <w:t>Medium (50-249)</w:t>
            </w:r>
          </w:p>
        </w:tc>
        <w:tc>
          <w:tcPr>
            <w:tcW w:w="1161" w:type="dxa"/>
            <w:shd w:val="clear" w:color="auto" w:fill="D9D9D9" w:themeFill="background1" w:themeFillShade="D9"/>
          </w:tcPr>
          <w:p w14:paraId="01420C43" w14:textId="328BECAF" w:rsidR="00724B12" w:rsidRPr="0065724D" w:rsidRDefault="00F50CDF" w:rsidP="00724B12">
            <w:pPr>
              <w:spacing w:after="0"/>
              <w:ind w:left="0" w:firstLine="0"/>
              <w:jc w:val="center"/>
              <w:rPr>
                <w:sz w:val="20"/>
                <w:szCs w:val="20"/>
              </w:rPr>
            </w:pPr>
            <w:r w:rsidRPr="0065724D">
              <w:rPr>
                <w:sz w:val="20"/>
                <w:szCs w:val="20"/>
              </w:rPr>
              <w:t>110</w:t>
            </w:r>
          </w:p>
        </w:tc>
        <w:tc>
          <w:tcPr>
            <w:tcW w:w="991" w:type="dxa"/>
            <w:shd w:val="clear" w:color="auto" w:fill="D9D9D9" w:themeFill="background1" w:themeFillShade="D9"/>
          </w:tcPr>
          <w:p w14:paraId="5DDD1FE2" w14:textId="6D584BDB" w:rsidR="00724B12" w:rsidRPr="0065724D" w:rsidRDefault="00724B12" w:rsidP="00724B12">
            <w:pPr>
              <w:spacing w:after="0"/>
              <w:ind w:left="0" w:firstLine="0"/>
              <w:jc w:val="center"/>
              <w:rPr>
                <w:sz w:val="20"/>
                <w:szCs w:val="20"/>
              </w:rPr>
            </w:pPr>
            <w:r w:rsidRPr="0065724D">
              <w:rPr>
                <w:sz w:val="20"/>
                <w:szCs w:val="20"/>
              </w:rPr>
              <w:t>1.</w:t>
            </w:r>
            <w:r w:rsidR="008161C1" w:rsidRPr="0065724D">
              <w:rPr>
                <w:sz w:val="20"/>
                <w:szCs w:val="20"/>
              </w:rPr>
              <w:t>3</w:t>
            </w:r>
          </w:p>
        </w:tc>
        <w:tc>
          <w:tcPr>
            <w:tcW w:w="1134" w:type="dxa"/>
            <w:shd w:val="clear" w:color="auto" w:fill="D9D9D9" w:themeFill="background1" w:themeFillShade="D9"/>
          </w:tcPr>
          <w:p w14:paraId="071D0E21" w14:textId="6662B657" w:rsidR="00724B12" w:rsidRPr="0065724D" w:rsidRDefault="00416229" w:rsidP="00724B12">
            <w:pPr>
              <w:spacing w:after="0"/>
              <w:ind w:left="0" w:firstLine="0"/>
              <w:jc w:val="center"/>
              <w:rPr>
                <w:sz w:val="20"/>
                <w:szCs w:val="20"/>
              </w:rPr>
            </w:pPr>
            <w:r w:rsidRPr="0065724D">
              <w:rPr>
                <w:sz w:val="20"/>
                <w:szCs w:val="20"/>
              </w:rPr>
              <w:t>4</w:t>
            </w:r>
            <w:r w:rsidR="008F3C2A" w:rsidRPr="0065724D">
              <w:rPr>
                <w:sz w:val="20"/>
                <w:szCs w:val="20"/>
              </w:rPr>
              <w:t>10</w:t>
            </w:r>
          </w:p>
        </w:tc>
        <w:tc>
          <w:tcPr>
            <w:tcW w:w="992" w:type="dxa"/>
            <w:shd w:val="clear" w:color="auto" w:fill="D9D9D9" w:themeFill="background1" w:themeFillShade="D9"/>
          </w:tcPr>
          <w:p w14:paraId="00B3AB95" w14:textId="7E2ABB14" w:rsidR="00724B12" w:rsidRPr="0065724D" w:rsidRDefault="00724B12" w:rsidP="00724B12">
            <w:pPr>
              <w:spacing w:after="0"/>
              <w:ind w:left="0" w:firstLine="0"/>
              <w:jc w:val="center"/>
              <w:rPr>
                <w:sz w:val="20"/>
                <w:szCs w:val="20"/>
              </w:rPr>
            </w:pPr>
            <w:r w:rsidRPr="0065724D">
              <w:rPr>
                <w:sz w:val="20"/>
                <w:szCs w:val="20"/>
              </w:rPr>
              <w:t>1.4</w:t>
            </w:r>
            <w:r w:rsidR="00C52C52" w:rsidRPr="0065724D">
              <w:rPr>
                <w:sz w:val="20"/>
                <w:szCs w:val="20"/>
              </w:rPr>
              <w:t>8</w:t>
            </w:r>
          </w:p>
        </w:tc>
        <w:tc>
          <w:tcPr>
            <w:tcW w:w="1701" w:type="dxa"/>
            <w:shd w:val="clear" w:color="auto" w:fill="D9D9D9" w:themeFill="background1" w:themeFillShade="D9"/>
          </w:tcPr>
          <w:p w14:paraId="07CA3153" w14:textId="1DEAAABF" w:rsidR="00724B12" w:rsidRPr="0065724D" w:rsidRDefault="00416229" w:rsidP="00724B12">
            <w:pPr>
              <w:spacing w:after="0"/>
              <w:ind w:left="0" w:firstLine="0"/>
              <w:jc w:val="center"/>
              <w:rPr>
                <w:sz w:val="20"/>
                <w:szCs w:val="20"/>
              </w:rPr>
            </w:pPr>
            <w:r w:rsidRPr="0065724D">
              <w:rPr>
                <w:sz w:val="20"/>
                <w:szCs w:val="20"/>
              </w:rPr>
              <w:t>36,</w:t>
            </w:r>
            <w:r w:rsidR="00325D56" w:rsidRPr="0065724D">
              <w:rPr>
                <w:sz w:val="20"/>
                <w:szCs w:val="20"/>
              </w:rPr>
              <w:t>290</w:t>
            </w:r>
          </w:p>
        </w:tc>
        <w:tc>
          <w:tcPr>
            <w:tcW w:w="992" w:type="dxa"/>
            <w:shd w:val="clear" w:color="auto" w:fill="D9D9D9" w:themeFill="background1" w:themeFillShade="D9"/>
          </w:tcPr>
          <w:p w14:paraId="72D2E77C" w14:textId="57732A96" w:rsidR="00724B12" w:rsidRPr="0065724D" w:rsidRDefault="00724B12" w:rsidP="00724B12">
            <w:pPr>
              <w:spacing w:after="0"/>
              <w:ind w:left="0" w:firstLine="0"/>
              <w:jc w:val="center"/>
              <w:rPr>
                <w:sz w:val="20"/>
                <w:szCs w:val="20"/>
              </w:rPr>
            </w:pPr>
            <w:r w:rsidRPr="0065724D">
              <w:rPr>
                <w:sz w:val="20"/>
                <w:szCs w:val="20"/>
              </w:rPr>
              <w:t>1.5</w:t>
            </w:r>
            <w:r w:rsidR="00462784" w:rsidRPr="0065724D">
              <w:rPr>
                <w:sz w:val="20"/>
                <w:szCs w:val="20"/>
              </w:rPr>
              <w:t>1</w:t>
            </w:r>
          </w:p>
        </w:tc>
      </w:tr>
      <w:tr w:rsidR="00060088" w:rsidRPr="00060088" w14:paraId="4F959626" w14:textId="77777777" w:rsidTr="00B96D1A">
        <w:tc>
          <w:tcPr>
            <w:tcW w:w="2243" w:type="dxa"/>
          </w:tcPr>
          <w:p w14:paraId="5A641DCF" w14:textId="77777777" w:rsidR="00724B12" w:rsidRPr="0065724D" w:rsidRDefault="00724B12" w:rsidP="00724B12">
            <w:pPr>
              <w:spacing w:after="0"/>
              <w:ind w:left="0" w:firstLine="0"/>
              <w:rPr>
                <w:sz w:val="20"/>
                <w:szCs w:val="20"/>
              </w:rPr>
            </w:pPr>
            <w:r w:rsidRPr="0065724D">
              <w:rPr>
                <w:sz w:val="20"/>
                <w:szCs w:val="20"/>
              </w:rPr>
              <w:t>Small (10-49)</w:t>
            </w:r>
          </w:p>
        </w:tc>
        <w:tc>
          <w:tcPr>
            <w:tcW w:w="1161" w:type="dxa"/>
          </w:tcPr>
          <w:p w14:paraId="4DD86C29" w14:textId="17366B1A" w:rsidR="00724B12" w:rsidRPr="0065724D" w:rsidRDefault="00F50CDF" w:rsidP="00724B12">
            <w:pPr>
              <w:spacing w:after="0"/>
              <w:ind w:left="0" w:firstLine="0"/>
              <w:jc w:val="center"/>
              <w:rPr>
                <w:sz w:val="20"/>
                <w:szCs w:val="20"/>
              </w:rPr>
            </w:pPr>
            <w:r w:rsidRPr="0065724D">
              <w:rPr>
                <w:sz w:val="20"/>
                <w:szCs w:val="20"/>
              </w:rPr>
              <w:t>690</w:t>
            </w:r>
          </w:p>
        </w:tc>
        <w:tc>
          <w:tcPr>
            <w:tcW w:w="991" w:type="dxa"/>
          </w:tcPr>
          <w:p w14:paraId="02BA3232" w14:textId="75AF506C" w:rsidR="00724B12" w:rsidRPr="0065724D" w:rsidRDefault="00724B12" w:rsidP="00724B12">
            <w:pPr>
              <w:spacing w:after="0"/>
              <w:ind w:left="0" w:firstLine="0"/>
              <w:jc w:val="center"/>
              <w:rPr>
                <w:sz w:val="20"/>
                <w:szCs w:val="20"/>
              </w:rPr>
            </w:pPr>
            <w:r w:rsidRPr="0065724D">
              <w:rPr>
                <w:sz w:val="20"/>
                <w:szCs w:val="20"/>
              </w:rPr>
              <w:t>8.</w:t>
            </w:r>
            <w:r w:rsidR="008161C1" w:rsidRPr="0065724D">
              <w:rPr>
                <w:sz w:val="20"/>
                <w:szCs w:val="20"/>
              </w:rPr>
              <w:t>3</w:t>
            </w:r>
          </w:p>
        </w:tc>
        <w:tc>
          <w:tcPr>
            <w:tcW w:w="1134" w:type="dxa"/>
          </w:tcPr>
          <w:p w14:paraId="3C245EB6" w14:textId="4BAF1B33" w:rsidR="00724B12" w:rsidRPr="0065724D" w:rsidRDefault="00416229" w:rsidP="00724B12">
            <w:pPr>
              <w:spacing w:after="0"/>
              <w:ind w:left="0" w:firstLine="0"/>
              <w:jc w:val="center"/>
              <w:rPr>
                <w:sz w:val="20"/>
                <w:szCs w:val="20"/>
              </w:rPr>
            </w:pPr>
            <w:r w:rsidRPr="0065724D">
              <w:rPr>
                <w:sz w:val="20"/>
                <w:szCs w:val="20"/>
              </w:rPr>
              <w:t>2,</w:t>
            </w:r>
            <w:r w:rsidR="00BC0006" w:rsidRPr="0065724D">
              <w:rPr>
                <w:sz w:val="20"/>
                <w:szCs w:val="20"/>
              </w:rPr>
              <w:t>260</w:t>
            </w:r>
          </w:p>
        </w:tc>
        <w:tc>
          <w:tcPr>
            <w:tcW w:w="992" w:type="dxa"/>
          </w:tcPr>
          <w:p w14:paraId="5A524EF3" w14:textId="0797E496" w:rsidR="00724B12" w:rsidRPr="0065724D" w:rsidRDefault="00724B12" w:rsidP="00724B12">
            <w:pPr>
              <w:spacing w:after="0"/>
              <w:ind w:left="0" w:firstLine="0"/>
              <w:jc w:val="center"/>
              <w:rPr>
                <w:sz w:val="20"/>
                <w:szCs w:val="20"/>
              </w:rPr>
            </w:pPr>
            <w:r w:rsidRPr="0065724D">
              <w:rPr>
                <w:sz w:val="20"/>
                <w:szCs w:val="20"/>
              </w:rPr>
              <w:t>8.</w:t>
            </w:r>
            <w:r w:rsidR="001B65AC" w:rsidRPr="0065724D">
              <w:rPr>
                <w:sz w:val="20"/>
                <w:szCs w:val="20"/>
              </w:rPr>
              <w:t>16</w:t>
            </w:r>
          </w:p>
        </w:tc>
        <w:tc>
          <w:tcPr>
            <w:tcW w:w="1701" w:type="dxa"/>
          </w:tcPr>
          <w:p w14:paraId="22ABA129" w14:textId="36E97569" w:rsidR="00724B12" w:rsidRPr="0065724D" w:rsidRDefault="005C71BF" w:rsidP="00724B12">
            <w:pPr>
              <w:spacing w:after="0"/>
              <w:ind w:left="0" w:firstLine="0"/>
              <w:jc w:val="center"/>
              <w:rPr>
                <w:sz w:val="20"/>
                <w:szCs w:val="20"/>
              </w:rPr>
            </w:pPr>
            <w:r w:rsidRPr="0065724D">
              <w:rPr>
                <w:sz w:val="20"/>
                <w:szCs w:val="20"/>
              </w:rPr>
              <w:t>199,325</w:t>
            </w:r>
          </w:p>
        </w:tc>
        <w:tc>
          <w:tcPr>
            <w:tcW w:w="992" w:type="dxa"/>
          </w:tcPr>
          <w:p w14:paraId="2D52766A" w14:textId="55B1AE4F" w:rsidR="00724B12" w:rsidRPr="0065724D" w:rsidRDefault="00724B12" w:rsidP="00724B12">
            <w:pPr>
              <w:spacing w:after="0"/>
              <w:ind w:left="0" w:firstLine="0"/>
              <w:jc w:val="center"/>
              <w:rPr>
                <w:sz w:val="20"/>
                <w:szCs w:val="20"/>
              </w:rPr>
            </w:pPr>
            <w:r w:rsidRPr="0065724D">
              <w:rPr>
                <w:sz w:val="20"/>
                <w:szCs w:val="20"/>
              </w:rPr>
              <w:t>8.</w:t>
            </w:r>
            <w:r w:rsidR="00B61758" w:rsidRPr="0065724D">
              <w:rPr>
                <w:sz w:val="20"/>
                <w:szCs w:val="20"/>
              </w:rPr>
              <w:t>28</w:t>
            </w:r>
          </w:p>
        </w:tc>
      </w:tr>
      <w:tr w:rsidR="00060088" w:rsidRPr="00060088" w14:paraId="5446F9EC" w14:textId="77777777" w:rsidTr="00B96D1A">
        <w:tc>
          <w:tcPr>
            <w:tcW w:w="2243" w:type="dxa"/>
            <w:shd w:val="clear" w:color="auto" w:fill="D9D9D9" w:themeFill="background1" w:themeFillShade="D9"/>
          </w:tcPr>
          <w:p w14:paraId="38AE213F" w14:textId="77777777" w:rsidR="00724B12" w:rsidRPr="0065724D" w:rsidRDefault="00724B12" w:rsidP="00724B12">
            <w:pPr>
              <w:spacing w:after="0"/>
              <w:ind w:left="0" w:firstLine="0"/>
              <w:rPr>
                <w:sz w:val="20"/>
                <w:szCs w:val="20"/>
              </w:rPr>
            </w:pPr>
            <w:r w:rsidRPr="0065724D">
              <w:rPr>
                <w:sz w:val="20"/>
                <w:szCs w:val="20"/>
              </w:rPr>
              <w:t>Micro (0-9)</w:t>
            </w:r>
          </w:p>
        </w:tc>
        <w:tc>
          <w:tcPr>
            <w:tcW w:w="1161" w:type="dxa"/>
            <w:shd w:val="clear" w:color="auto" w:fill="D9D9D9" w:themeFill="background1" w:themeFillShade="D9"/>
          </w:tcPr>
          <w:p w14:paraId="0B3E47E1" w14:textId="66684B32" w:rsidR="00724B12" w:rsidRPr="0065724D" w:rsidRDefault="009A4F51" w:rsidP="00724B12">
            <w:pPr>
              <w:spacing w:after="0"/>
              <w:ind w:left="0" w:firstLine="0"/>
              <w:jc w:val="center"/>
              <w:rPr>
                <w:sz w:val="20"/>
                <w:szCs w:val="20"/>
              </w:rPr>
            </w:pPr>
            <w:r w:rsidRPr="0065724D">
              <w:rPr>
                <w:sz w:val="20"/>
                <w:szCs w:val="20"/>
              </w:rPr>
              <w:t>7,475</w:t>
            </w:r>
          </w:p>
        </w:tc>
        <w:tc>
          <w:tcPr>
            <w:tcW w:w="991" w:type="dxa"/>
            <w:shd w:val="clear" w:color="auto" w:fill="D9D9D9" w:themeFill="background1" w:themeFillShade="D9"/>
          </w:tcPr>
          <w:p w14:paraId="6F583BFB" w14:textId="6110DDB5" w:rsidR="00724B12" w:rsidRPr="0065724D" w:rsidRDefault="008161C1" w:rsidP="00724B12">
            <w:pPr>
              <w:spacing w:after="0"/>
              <w:ind w:left="0" w:firstLine="0"/>
              <w:jc w:val="center"/>
              <w:rPr>
                <w:sz w:val="20"/>
                <w:szCs w:val="20"/>
              </w:rPr>
            </w:pPr>
            <w:r w:rsidRPr="0065724D">
              <w:rPr>
                <w:sz w:val="20"/>
                <w:szCs w:val="20"/>
              </w:rPr>
              <w:t>90.2</w:t>
            </w:r>
          </w:p>
        </w:tc>
        <w:tc>
          <w:tcPr>
            <w:tcW w:w="1134" w:type="dxa"/>
            <w:shd w:val="clear" w:color="auto" w:fill="D9D9D9" w:themeFill="background1" w:themeFillShade="D9"/>
          </w:tcPr>
          <w:p w14:paraId="270203B2" w14:textId="1E95FC01" w:rsidR="00724B12" w:rsidRPr="0065724D" w:rsidRDefault="00416229" w:rsidP="00724B12">
            <w:pPr>
              <w:spacing w:after="0"/>
              <w:ind w:left="0" w:firstLine="0"/>
              <w:jc w:val="center"/>
              <w:rPr>
                <w:sz w:val="20"/>
                <w:szCs w:val="20"/>
              </w:rPr>
            </w:pPr>
            <w:r w:rsidRPr="0065724D">
              <w:rPr>
                <w:sz w:val="20"/>
                <w:szCs w:val="20"/>
              </w:rPr>
              <w:t>2</w:t>
            </w:r>
            <w:r w:rsidR="000C4D82" w:rsidRPr="0065724D">
              <w:rPr>
                <w:sz w:val="20"/>
                <w:szCs w:val="20"/>
              </w:rPr>
              <w:t>4,9</w:t>
            </w:r>
            <w:r w:rsidRPr="0065724D">
              <w:rPr>
                <w:sz w:val="20"/>
                <w:szCs w:val="20"/>
              </w:rPr>
              <w:t>00</w:t>
            </w:r>
          </w:p>
        </w:tc>
        <w:tc>
          <w:tcPr>
            <w:tcW w:w="992" w:type="dxa"/>
            <w:shd w:val="clear" w:color="auto" w:fill="D9D9D9" w:themeFill="background1" w:themeFillShade="D9"/>
          </w:tcPr>
          <w:p w14:paraId="135492B7" w14:textId="5EF3294B" w:rsidR="00724B12" w:rsidRPr="0065724D" w:rsidRDefault="001B65AC" w:rsidP="00724B12">
            <w:pPr>
              <w:spacing w:after="0"/>
              <w:ind w:left="0" w:firstLine="0"/>
              <w:jc w:val="center"/>
              <w:rPr>
                <w:sz w:val="20"/>
                <w:szCs w:val="20"/>
              </w:rPr>
            </w:pPr>
            <w:r w:rsidRPr="0065724D">
              <w:rPr>
                <w:sz w:val="20"/>
                <w:szCs w:val="20"/>
              </w:rPr>
              <w:t>89</w:t>
            </w:r>
            <w:r w:rsidR="00416229" w:rsidRPr="0065724D">
              <w:rPr>
                <w:sz w:val="20"/>
                <w:szCs w:val="20"/>
              </w:rPr>
              <w:t>.</w:t>
            </w:r>
            <w:r w:rsidR="007C63A8" w:rsidRPr="0065724D">
              <w:rPr>
                <w:sz w:val="20"/>
                <w:szCs w:val="20"/>
              </w:rPr>
              <w:t>91</w:t>
            </w:r>
          </w:p>
        </w:tc>
        <w:tc>
          <w:tcPr>
            <w:tcW w:w="1701" w:type="dxa"/>
            <w:shd w:val="clear" w:color="auto" w:fill="D9D9D9" w:themeFill="background1" w:themeFillShade="D9"/>
          </w:tcPr>
          <w:p w14:paraId="2E8D4229" w14:textId="1ADCA528" w:rsidR="00724B12" w:rsidRPr="0065724D" w:rsidRDefault="00416229" w:rsidP="00724B12">
            <w:pPr>
              <w:spacing w:after="0"/>
              <w:ind w:left="0" w:firstLine="0"/>
              <w:jc w:val="center"/>
              <w:rPr>
                <w:sz w:val="20"/>
                <w:szCs w:val="20"/>
              </w:rPr>
            </w:pPr>
            <w:r w:rsidRPr="0065724D">
              <w:rPr>
                <w:sz w:val="20"/>
                <w:szCs w:val="20"/>
              </w:rPr>
              <w:t>2,114,180</w:t>
            </w:r>
          </w:p>
        </w:tc>
        <w:tc>
          <w:tcPr>
            <w:tcW w:w="992" w:type="dxa"/>
            <w:shd w:val="clear" w:color="auto" w:fill="D9D9D9" w:themeFill="background1" w:themeFillShade="D9"/>
          </w:tcPr>
          <w:p w14:paraId="7C2FE3E6" w14:textId="5074941C" w:rsidR="00724B12" w:rsidRPr="0065724D" w:rsidRDefault="00724B12" w:rsidP="00724B12">
            <w:pPr>
              <w:spacing w:after="0"/>
              <w:ind w:left="0" w:firstLine="0"/>
              <w:jc w:val="center"/>
              <w:rPr>
                <w:sz w:val="20"/>
                <w:szCs w:val="20"/>
              </w:rPr>
            </w:pPr>
            <w:r w:rsidRPr="0065724D">
              <w:rPr>
                <w:sz w:val="20"/>
                <w:szCs w:val="20"/>
              </w:rPr>
              <w:t>89.</w:t>
            </w:r>
            <w:r w:rsidR="00060088" w:rsidRPr="0065724D">
              <w:rPr>
                <w:sz w:val="20"/>
                <w:szCs w:val="20"/>
              </w:rPr>
              <w:t>82</w:t>
            </w:r>
          </w:p>
        </w:tc>
      </w:tr>
      <w:tr w:rsidR="00060088" w:rsidRPr="00060088" w14:paraId="7C3F33AD" w14:textId="77777777" w:rsidTr="00B96D1A">
        <w:tc>
          <w:tcPr>
            <w:tcW w:w="2243" w:type="dxa"/>
          </w:tcPr>
          <w:p w14:paraId="41EEA6E1" w14:textId="77777777" w:rsidR="00724B12" w:rsidRPr="0065724D" w:rsidRDefault="00724B12" w:rsidP="00724B12">
            <w:pPr>
              <w:spacing w:after="0"/>
              <w:ind w:left="0" w:firstLine="0"/>
              <w:rPr>
                <w:b/>
                <w:sz w:val="20"/>
                <w:szCs w:val="20"/>
              </w:rPr>
            </w:pPr>
            <w:r w:rsidRPr="0065724D">
              <w:rPr>
                <w:b/>
                <w:sz w:val="20"/>
                <w:szCs w:val="20"/>
              </w:rPr>
              <w:t>Total</w:t>
            </w:r>
          </w:p>
        </w:tc>
        <w:tc>
          <w:tcPr>
            <w:tcW w:w="1161" w:type="dxa"/>
          </w:tcPr>
          <w:p w14:paraId="7B84DEE6" w14:textId="4FB8D033" w:rsidR="00724B12" w:rsidRPr="0065724D" w:rsidRDefault="00F50CDF" w:rsidP="00724B12">
            <w:pPr>
              <w:spacing w:after="0"/>
              <w:ind w:left="0" w:firstLine="0"/>
              <w:jc w:val="center"/>
              <w:rPr>
                <w:b/>
                <w:sz w:val="20"/>
                <w:szCs w:val="20"/>
              </w:rPr>
            </w:pPr>
            <w:r w:rsidRPr="0065724D">
              <w:rPr>
                <w:b/>
                <w:sz w:val="20"/>
                <w:szCs w:val="20"/>
              </w:rPr>
              <w:t>8,29</w:t>
            </w:r>
            <w:r w:rsidR="008160B2" w:rsidRPr="0065724D">
              <w:rPr>
                <w:b/>
                <w:sz w:val="20"/>
                <w:szCs w:val="20"/>
              </w:rPr>
              <w:t>0</w:t>
            </w:r>
          </w:p>
        </w:tc>
        <w:tc>
          <w:tcPr>
            <w:tcW w:w="991" w:type="dxa"/>
          </w:tcPr>
          <w:p w14:paraId="3368239A" w14:textId="77777777" w:rsidR="00724B12" w:rsidRPr="0065724D" w:rsidRDefault="00724B12" w:rsidP="00724B12">
            <w:pPr>
              <w:spacing w:after="0"/>
              <w:ind w:left="0" w:firstLine="0"/>
              <w:jc w:val="center"/>
              <w:rPr>
                <w:b/>
                <w:sz w:val="20"/>
                <w:szCs w:val="20"/>
              </w:rPr>
            </w:pPr>
            <w:r w:rsidRPr="0065724D">
              <w:rPr>
                <w:b/>
                <w:sz w:val="20"/>
                <w:szCs w:val="20"/>
              </w:rPr>
              <w:t>100</w:t>
            </w:r>
          </w:p>
        </w:tc>
        <w:tc>
          <w:tcPr>
            <w:tcW w:w="1134" w:type="dxa"/>
          </w:tcPr>
          <w:p w14:paraId="3D2AA323" w14:textId="68C09497" w:rsidR="00724B12" w:rsidRPr="0065724D" w:rsidRDefault="00416229" w:rsidP="00416229">
            <w:pPr>
              <w:spacing w:after="0"/>
              <w:ind w:left="0" w:firstLine="0"/>
              <w:jc w:val="center"/>
              <w:rPr>
                <w:b/>
                <w:sz w:val="20"/>
                <w:szCs w:val="20"/>
              </w:rPr>
            </w:pPr>
            <w:r w:rsidRPr="0065724D">
              <w:rPr>
                <w:b/>
                <w:sz w:val="20"/>
                <w:szCs w:val="20"/>
              </w:rPr>
              <w:t>28,235</w:t>
            </w:r>
          </w:p>
        </w:tc>
        <w:tc>
          <w:tcPr>
            <w:tcW w:w="992" w:type="dxa"/>
          </w:tcPr>
          <w:p w14:paraId="27C1478A" w14:textId="77777777" w:rsidR="00724B12" w:rsidRPr="0065724D" w:rsidRDefault="00724B12" w:rsidP="00724B12">
            <w:pPr>
              <w:spacing w:after="0"/>
              <w:ind w:left="0" w:firstLine="0"/>
              <w:jc w:val="center"/>
              <w:rPr>
                <w:b/>
                <w:sz w:val="20"/>
                <w:szCs w:val="20"/>
              </w:rPr>
            </w:pPr>
            <w:r w:rsidRPr="0065724D">
              <w:rPr>
                <w:b/>
                <w:sz w:val="20"/>
                <w:szCs w:val="20"/>
              </w:rPr>
              <w:t>100</w:t>
            </w:r>
          </w:p>
        </w:tc>
        <w:tc>
          <w:tcPr>
            <w:tcW w:w="1701" w:type="dxa"/>
          </w:tcPr>
          <w:p w14:paraId="3CE23A19" w14:textId="61492352" w:rsidR="00724B12" w:rsidRPr="0065724D" w:rsidRDefault="00724B12" w:rsidP="00724B12">
            <w:pPr>
              <w:spacing w:after="0"/>
              <w:ind w:left="0" w:firstLine="0"/>
              <w:jc w:val="center"/>
              <w:rPr>
                <w:b/>
                <w:sz w:val="20"/>
                <w:szCs w:val="20"/>
              </w:rPr>
            </w:pPr>
            <w:r w:rsidRPr="0065724D">
              <w:rPr>
                <w:b/>
                <w:sz w:val="20"/>
                <w:szCs w:val="20"/>
              </w:rPr>
              <w:t>2,</w:t>
            </w:r>
            <w:r w:rsidR="00DF17DC" w:rsidRPr="0065724D">
              <w:rPr>
                <w:b/>
                <w:sz w:val="20"/>
                <w:szCs w:val="20"/>
              </w:rPr>
              <w:t>161</w:t>
            </w:r>
            <w:r w:rsidR="00416229" w:rsidRPr="0065724D">
              <w:rPr>
                <w:b/>
                <w:sz w:val="20"/>
                <w:szCs w:val="20"/>
              </w:rPr>
              <w:t>,</w:t>
            </w:r>
            <w:r w:rsidR="00DF17DC" w:rsidRPr="0065724D">
              <w:rPr>
                <w:b/>
                <w:sz w:val="20"/>
                <w:szCs w:val="20"/>
              </w:rPr>
              <w:t>045</w:t>
            </w:r>
          </w:p>
        </w:tc>
        <w:tc>
          <w:tcPr>
            <w:tcW w:w="992" w:type="dxa"/>
          </w:tcPr>
          <w:p w14:paraId="4DDB9711" w14:textId="77777777" w:rsidR="00724B12" w:rsidRPr="0065724D" w:rsidRDefault="00724B12" w:rsidP="00724B12">
            <w:pPr>
              <w:spacing w:after="0"/>
              <w:ind w:left="0" w:firstLine="0"/>
              <w:jc w:val="center"/>
              <w:rPr>
                <w:b/>
                <w:sz w:val="20"/>
                <w:szCs w:val="20"/>
              </w:rPr>
            </w:pPr>
            <w:r w:rsidRPr="0065724D">
              <w:rPr>
                <w:b/>
                <w:sz w:val="20"/>
                <w:szCs w:val="20"/>
              </w:rPr>
              <w:t>100</w:t>
            </w:r>
          </w:p>
        </w:tc>
      </w:tr>
    </w:tbl>
    <w:p w14:paraId="1FAE5F26" w14:textId="77777777" w:rsidR="005C22E3" w:rsidRDefault="005C22E3" w:rsidP="00335BD9">
      <w:pPr>
        <w:pStyle w:val="NoSpacing"/>
        <w:rPr>
          <w:color w:val="FF0000"/>
        </w:rPr>
      </w:pPr>
    </w:p>
    <w:p w14:paraId="5B510CF3" w14:textId="77777777" w:rsidR="00E94700" w:rsidRPr="000C2EB7" w:rsidRDefault="00E94700" w:rsidP="00335BD9">
      <w:pPr>
        <w:pStyle w:val="NoSpacing"/>
        <w:rPr>
          <w:color w:val="FF0000"/>
        </w:rPr>
      </w:pPr>
    </w:p>
    <w:p w14:paraId="7225ED26" w14:textId="50F9F9F7" w:rsidR="000223A1" w:rsidRPr="00F8060C" w:rsidRDefault="008B7F9B" w:rsidP="00F8060C">
      <w:pPr>
        <w:pStyle w:val="ListParagraph"/>
        <w:numPr>
          <w:ilvl w:val="3"/>
          <w:numId w:val="20"/>
        </w:numPr>
        <w:ind w:left="709" w:right="420" w:hanging="709"/>
        <w:contextualSpacing w:val="0"/>
        <w:jc w:val="left"/>
        <w:rPr>
          <w:sz w:val="22"/>
          <w:szCs w:val="22"/>
        </w:rPr>
      </w:pPr>
      <w:r w:rsidRPr="007F1630">
        <w:rPr>
          <w:sz w:val="22"/>
          <w:szCs w:val="22"/>
        </w:rPr>
        <w:t>The business dens</w:t>
      </w:r>
      <w:r w:rsidR="00B90F4D" w:rsidRPr="007F1630">
        <w:rPr>
          <w:sz w:val="22"/>
          <w:szCs w:val="22"/>
        </w:rPr>
        <w:t xml:space="preserve">ity ratio </w:t>
      </w:r>
      <w:r w:rsidR="007F1630" w:rsidRPr="007F1630">
        <w:rPr>
          <w:sz w:val="22"/>
          <w:szCs w:val="22"/>
        </w:rPr>
        <w:t xml:space="preserve">for the district </w:t>
      </w:r>
      <w:r w:rsidR="00B90F4D" w:rsidRPr="007F1630">
        <w:rPr>
          <w:sz w:val="22"/>
          <w:szCs w:val="22"/>
        </w:rPr>
        <w:t xml:space="preserve">of </w:t>
      </w:r>
      <w:r w:rsidR="00FF7A5A" w:rsidRPr="007F1630">
        <w:rPr>
          <w:sz w:val="22"/>
          <w:szCs w:val="22"/>
        </w:rPr>
        <w:t>710</w:t>
      </w:r>
      <w:r w:rsidRPr="007F1630">
        <w:rPr>
          <w:sz w:val="22"/>
          <w:szCs w:val="22"/>
        </w:rPr>
        <w:t xml:space="preserve"> per 1</w:t>
      </w:r>
      <w:r w:rsidR="00FF7A5A" w:rsidRPr="007F1630">
        <w:rPr>
          <w:sz w:val="22"/>
          <w:szCs w:val="22"/>
        </w:rPr>
        <w:t>0</w:t>
      </w:r>
      <w:r w:rsidRPr="007F1630">
        <w:rPr>
          <w:sz w:val="22"/>
          <w:szCs w:val="22"/>
        </w:rPr>
        <w:t xml:space="preserve">,000 </w:t>
      </w:r>
      <w:r w:rsidR="00D81D6A" w:rsidRPr="007F1630">
        <w:rPr>
          <w:sz w:val="22"/>
          <w:szCs w:val="22"/>
        </w:rPr>
        <w:t>people</w:t>
      </w:r>
      <w:r w:rsidRPr="007F1630">
        <w:rPr>
          <w:sz w:val="22"/>
          <w:szCs w:val="22"/>
        </w:rPr>
        <w:t xml:space="preserve"> is the </w:t>
      </w:r>
      <w:r w:rsidR="007F1630" w:rsidRPr="007F1630">
        <w:rPr>
          <w:sz w:val="22"/>
          <w:szCs w:val="22"/>
        </w:rPr>
        <w:t xml:space="preserve">second </w:t>
      </w:r>
      <w:r w:rsidRPr="007F1630">
        <w:rPr>
          <w:sz w:val="22"/>
          <w:szCs w:val="22"/>
        </w:rPr>
        <w:t xml:space="preserve">highest density in the </w:t>
      </w:r>
      <w:r w:rsidR="00D81D6A" w:rsidRPr="007F1630">
        <w:rPr>
          <w:sz w:val="22"/>
          <w:szCs w:val="22"/>
        </w:rPr>
        <w:t>West Midlands</w:t>
      </w:r>
      <w:r w:rsidR="007F1630" w:rsidRPr="007F1630">
        <w:rPr>
          <w:sz w:val="22"/>
          <w:szCs w:val="22"/>
        </w:rPr>
        <w:t>, with only Bromsgrove higher at 966 businesses</w:t>
      </w:r>
      <w:r w:rsidR="009F4A78">
        <w:rPr>
          <w:rStyle w:val="EndnoteReference"/>
          <w:sz w:val="22"/>
          <w:szCs w:val="22"/>
        </w:rPr>
        <w:endnoteReference w:id="31"/>
      </w:r>
      <w:r w:rsidR="007F1630" w:rsidRPr="007F1630">
        <w:rPr>
          <w:sz w:val="22"/>
          <w:szCs w:val="22"/>
        </w:rPr>
        <w:t>.</w:t>
      </w:r>
    </w:p>
    <w:p w14:paraId="7206D9EC" w14:textId="1D76B7F2" w:rsidR="00C568AC" w:rsidRPr="000223A1" w:rsidRDefault="000223A1" w:rsidP="00F8060C">
      <w:pPr>
        <w:pStyle w:val="ListParagraph"/>
        <w:numPr>
          <w:ilvl w:val="3"/>
          <w:numId w:val="20"/>
        </w:numPr>
        <w:ind w:left="709" w:right="420" w:hanging="709"/>
        <w:contextualSpacing w:val="0"/>
        <w:jc w:val="left"/>
        <w:rPr>
          <w:sz w:val="22"/>
          <w:szCs w:val="22"/>
        </w:rPr>
      </w:pPr>
      <w:r>
        <w:rPr>
          <w:sz w:val="22"/>
          <w:szCs w:val="22"/>
        </w:rPr>
        <w:lastRenderedPageBreak/>
        <w:t>Figure 16</w:t>
      </w:r>
      <w:r w:rsidR="00232CEE" w:rsidRPr="000223A1">
        <w:rPr>
          <w:sz w:val="22"/>
          <w:szCs w:val="22"/>
        </w:rPr>
        <w:t xml:space="preserve"> shows the business survival rates for Stratford-on-Avon compared to Warwick and the Warwickshire average.</w:t>
      </w:r>
      <w:r>
        <w:rPr>
          <w:sz w:val="22"/>
          <w:szCs w:val="22"/>
        </w:rPr>
        <w:t xml:space="preserve"> </w:t>
      </w:r>
      <w:r w:rsidR="00C76BD3" w:rsidRPr="000223A1">
        <w:rPr>
          <w:sz w:val="22"/>
          <w:szCs w:val="22"/>
        </w:rPr>
        <w:t>I</w:t>
      </w:r>
      <w:r w:rsidR="00724B12" w:rsidRPr="000223A1">
        <w:rPr>
          <w:sz w:val="22"/>
          <w:szCs w:val="22"/>
        </w:rPr>
        <w:t xml:space="preserve">n </w:t>
      </w:r>
      <w:r w:rsidR="00EC4AD3" w:rsidRPr="000223A1">
        <w:rPr>
          <w:sz w:val="22"/>
          <w:szCs w:val="22"/>
        </w:rPr>
        <w:t>20</w:t>
      </w:r>
      <w:r w:rsidR="004778A0" w:rsidRPr="000223A1">
        <w:rPr>
          <w:sz w:val="22"/>
          <w:szCs w:val="22"/>
        </w:rPr>
        <w:t>20</w:t>
      </w:r>
      <w:r w:rsidR="00335BD9" w:rsidRPr="000223A1">
        <w:rPr>
          <w:sz w:val="22"/>
          <w:szCs w:val="22"/>
        </w:rPr>
        <w:t>,</w:t>
      </w:r>
      <w:r w:rsidR="00AE1B36" w:rsidRPr="000223A1">
        <w:rPr>
          <w:sz w:val="22"/>
          <w:szCs w:val="22"/>
        </w:rPr>
        <w:t xml:space="preserve"> there were </w:t>
      </w:r>
      <w:r w:rsidR="000E7B88" w:rsidRPr="000223A1">
        <w:rPr>
          <w:sz w:val="22"/>
          <w:szCs w:val="22"/>
        </w:rPr>
        <w:t>765</w:t>
      </w:r>
      <w:r w:rsidR="00EC4AD3" w:rsidRPr="000223A1">
        <w:rPr>
          <w:sz w:val="22"/>
          <w:szCs w:val="22"/>
        </w:rPr>
        <w:t xml:space="preserve"> business starts</w:t>
      </w:r>
      <w:r w:rsidR="000E7B88" w:rsidRPr="000223A1">
        <w:rPr>
          <w:sz w:val="22"/>
          <w:szCs w:val="22"/>
        </w:rPr>
        <w:t xml:space="preserve">, </w:t>
      </w:r>
      <w:r w:rsidR="00AE1B36" w:rsidRPr="000223A1">
        <w:rPr>
          <w:sz w:val="22"/>
          <w:szCs w:val="22"/>
        </w:rPr>
        <w:t xml:space="preserve">while there were </w:t>
      </w:r>
      <w:r w:rsidR="000E7B88" w:rsidRPr="000223A1">
        <w:rPr>
          <w:sz w:val="22"/>
          <w:szCs w:val="22"/>
        </w:rPr>
        <w:t>990</w:t>
      </w:r>
      <w:r w:rsidR="00EC4AD3" w:rsidRPr="000223A1">
        <w:rPr>
          <w:sz w:val="22"/>
          <w:szCs w:val="22"/>
        </w:rPr>
        <w:t xml:space="preserve"> business deaths</w:t>
      </w:r>
      <w:r w:rsidR="00EC4AD3" w:rsidRPr="006E79FE">
        <w:rPr>
          <w:rStyle w:val="EndnoteReference"/>
          <w:sz w:val="22"/>
          <w:szCs w:val="22"/>
        </w:rPr>
        <w:endnoteReference w:id="32"/>
      </w:r>
      <w:r w:rsidR="00EC4AD3" w:rsidRPr="000223A1">
        <w:rPr>
          <w:sz w:val="22"/>
          <w:szCs w:val="22"/>
        </w:rPr>
        <w:t>.</w:t>
      </w:r>
      <w:r w:rsidR="00724B12" w:rsidRPr="000223A1">
        <w:rPr>
          <w:sz w:val="22"/>
          <w:szCs w:val="22"/>
        </w:rPr>
        <w:t xml:space="preserve"> </w:t>
      </w:r>
      <w:r w:rsidR="00EC4AD3" w:rsidRPr="000223A1">
        <w:rPr>
          <w:sz w:val="22"/>
          <w:szCs w:val="22"/>
        </w:rPr>
        <w:t xml:space="preserve">The proportion of businesses that survived </w:t>
      </w:r>
      <w:r w:rsidR="00C76BD3" w:rsidRPr="000223A1">
        <w:rPr>
          <w:sz w:val="22"/>
          <w:szCs w:val="22"/>
        </w:rPr>
        <w:t>in their first year in the district was slightly lower than in Warwick, or than the Warwickshire average.</w:t>
      </w:r>
      <w:r w:rsidR="00774880" w:rsidRPr="000223A1">
        <w:rPr>
          <w:sz w:val="22"/>
          <w:szCs w:val="22"/>
        </w:rPr>
        <w:t xml:space="preserve"> However, once businesses get past that first year, survival rates are higher in the district.</w:t>
      </w:r>
    </w:p>
    <w:p w14:paraId="7A39B251" w14:textId="74DF181F" w:rsidR="000223A1" w:rsidRPr="008D7D3E" w:rsidRDefault="000223A1" w:rsidP="008D7D3E">
      <w:pPr>
        <w:pStyle w:val="Caption"/>
        <w:keepNext/>
        <w:ind w:hanging="11"/>
        <w:jc w:val="left"/>
        <w:rPr>
          <w:i w:val="0"/>
          <w:iCs w:val="0"/>
          <w:color w:val="auto"/>
          <w:sz w:val="22"/>
          <w:szCs w:val="22"/>
        </w:rPr>
      </w:pPr>
      <w:r w:rsidRPr="008D7D3E">
        <w:rPr>
          <w:i w:val="0"/>
          <w:iCs w:val="0"/>
          <w:color w:val="auto"/>
          <w:sz w:val="22"/>
          <w:szCs w:val="22"/>
        </w:rPr>
        <w:t xml:space="preserve">Figure </w:t>
      </w:r>
      <w:r w:rsidR="00F61229" w:rsidRPr="008D7D3E">
        <w:rPr>
          <w:i w:val="0"/>
          <w:iCs w:val="0"/>
          <w:color w:val="auto"/>
          <w:sz w:val="22"/>
          <w:szCs w:val="22"/>
        </w:rPr>
        <w:fldChar w:fldCharType="begin"/>
      </w:r>
      <w:r w:rsidR="00F61229" w:rsidRPr="008D7D3E">
        <w:rPr>
          <w:i w:val="0"/>
          <w:iCs w:val="0"/>
          <w:color w:val="auto"/>
          <w:sz w:val="22"/>
          <w:szCs w:val="22"/>
        </w:rPr>
        <w:instrText xml:space="preserve"> SEQ Figure \* ARABIC </w:instrText>
      </w:r>
      <w:r w:rsidR="00F61229" w:rsidRPr="008D7D3E">
        <w:rPr>
          <w:i w:val="0"/>
          <w:iCs w:val="0"/>
          <w:color w:val="auto"/>
          <w:sz w:val="22"/>
          <w:szCs w:val="22"/>
        </w:rPr>
        <w:fldChar w:fldCharType="separate"/>
      </w:r>
      <w:r w:rsidRPr="008D7D3E">
        <w:rPr>
          <w:i w:val="0"/>
          <w:iCs w:val="0"/>
          <w:noProof/>
          <w:color w:val="auto"/>
          <w:sz w:val="22"/>
          <w:szCs w:val="22"/>
        </w:rPr>
        <w:t>16</w:t>
      </w:r>
      <w:r w:rsidR="00F61229" w:rsidRPr="008D7D3E">
        <w:rPr>
          <w:i w:val="0"/>
          <w:iCs w:val="0"/>
          <w:noProof/>
          <w:color w:val="auto"/>
          <w:sz w:val="22"/>
          <w:szCs w:val="22"/>
        </w:rPr>
        <w:fldChar w:fldCharType="end"/>
      </w:r>
    </w:p>
    <w:p w14:paraId="64D869A4" w14:textId="0057793B" w:rsidR="00C76BD3" w:rsidRPr="006E79FE" w:rsidRDefault="00C76BD3" w:rsidP="00E51A45">
      <w:pPr>
        <w:pStyle w:val="ListParagraph"/>
        <w:ind w:firstLine="0"/>
        <w:jc w:val="center"/>
        <w:rPr>
          <w:sz w:val="22"/>
          <w:szCs w:val="22"/>
        </w:rPr>
      </w:pPr>
      <w:r>
        <w:rPr>
          <w:noProof/>
          <w:sz w:val="22"/>
          <w:szCs w:val="22"/>
        </w:rPr>
        <w:drawing>
          <wp:inline distT="0" distB="0" distL="0" distR="0" wp14:anchorId="71B17EEF" wp14:editId="42E4066F">
            <wp:extent cx="5324816" cy="3990975"/>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326609" cy="3992319"/>
                    </a:xfrm>
                    <a:prstGeom prst="rect">
                      <a:avLst/>
                    </a:prstGeom>
                    <a:noFill/>
                  </pic:spPr>
                </pic:pic>
              </a:graphicData>
            </a:graphic>
          </wp:inline>
        </w:drawing>
      </w:r>
    </w:p>
    <w:p w14:paraId="5E74492D" w14:textId="77777777" w:rsidR="003F0932" w:rsidRDefault="003F0932" w:rsidP="00A97E91">
      <w:pPr>
        <w:pStyle w:val="ListParagraph"/>
        <w:jc w:val="left"/>
        <w:rPr>
          <w:color w:val="FF0000"/>
          <w:sz w:val="22"/>
          <w:szCs w:val="22"/>
        </w:rPr>
      </w:pPr>
    </w:p>
    <w:p w14:paraId="30A982DA" w14:textId="77777777" w:rsidR="00774880" w:rsidRPr="000C2EB7" w:rsidRDefault="00774880" w:rsidP="00A97E91">
      <w:pPr>
        <w:pStyle w:val="ListParagraph"/>
        <w:jc w:val="left"/>
        <w:rPr>
          <w:color w:val="FF0000"/>
          <w:sz w:val="22"/>
          <w:szCs w:val="22"/>
        </w:rPr>
      </w:pPr>
    </w:p>
    <w:p w14:paraId="08215EB2" w14:textId="6B73CA6D" w:rsidR="008A6CBA" w:rsidRPr="00E55171" w:rsidRDefault="008C43DC" w:rsidP="00F8060C">
      <w:pPr>
        <w:pStyle w:val="ListParagraph"/>
        <w:numPr>
          <w:ilvl w:val="1"/>
          <w:numId w:val="20"/>
        </w:numPr>
        <w:contextualSpacing w:val="0"/>
        <w:jc w:val="left"/>
        <w:rPr>
          <w:b/>
          <w:i/>
          <w:iCs/>
          <w:sz w:val="22"/>
          <w:szCs w:val="22"/>
        </w:rPr>
      </w:pPr>
      <w:r w:rsidRPr="00E55171">
        <w:rPr>
          <w:b/>
          <w:i/>
          <w:iCs/>
          <w:sz w:val="22"/>
          <w:szCs w:val="22"/>
        </w:rPr>
        <w:t>Businesses by Industry</w:t>
      </w:r>
      <w:r w:rsidR="00C35334" w:rsidRPr="00E55171">
        <w:rPr>
          <w:b/>
          <w:i/>
          <w:iCs/>
          <w:sz w:val="22"/>
          <w:szCs w:val="22"/>
        </w:rPr>
        <w:t xml:space="preserve"> </w:t>
      </w:r>
    </w:p>
    <w:p w14:paraId="520A9DD4" w14:textId="78744907" w:rsidR="00DD7674" w:rsidRPr="00F8060C" w:rsidRDefault="006009E4" w:rsidP="00F8060C">
      <w:pPr>
        <w:pStyle w:val="ListParagraph"/>
        <w:numPr>
          <w:ilvl w:val="3"/>
          <w:numId w:val="20"/>
        </w:numPr>
        <w:ind w:left="709" w:right="421" w:hanging="709"/>
        <w:contextualSpacing w:val="0"/>
        <w:jc w:val="left"/>
        <w:rPr>
          <w:sz w:val="22"/>
          <w:szCs w:val="22"/>
        </w:rPr>
      </w:pPr>
      <w:r w:rsidRPr="009E3C6C">
        <w:rPr>
          <w:sz w:val="22"/>
          <w:szCs w:val="22"/>
        </w:rPr>
        <w:t>Table 1</w:t>
      </w:r>
      <w:r w:rsidR="000223A1">
        <w:rPr>
          <w:sz w:val="22"/>
          <w:szCs w:val="22"/>
        </w:rPr>
        <w:t>1</w:t>
      </w:r>
      <w:r w:rsidRPr="009E3C6C">
        <w:rPr>
          <w:sz w:val="22"/>
          <w:szCs w:val="22"/>
        </w:rPr>
        <w:t xml:space="preserve"> shows the number of businesses within each industry sector in the </w:t>
      </w:r>
      <w:r w:rsidR="00685383">
        <w:rPr>
          <w:sz w:val="22"/>
          <w:szCs w:val="22"/>
        </w:rPr>
        <w:t>D</w:t>
      </w:r>
      <w:r w:rsidRPr="009E3C6C">
        <w:rPr>
          <w:sz w:val="22"/>
          <w:szCs w:val="22"/>
        </w:rPr>
        <w:t xml:space="preserve">istrict </w:t>
      </w:r>
      <w:r w:rsidR="00F8280B" w:rsidRPr="009E3C6C">
        <w:rPr>
          <w:sz w:val="22"/>
          <w:szCs w:val="22"/>
        </w:rPr>
        <w:t xml:space="preserve">in 2021, and the proportion </w:t>
      </w:r>
      <w:r w:rsidR="00475BC7" w:rsidRPr="009E3C6C">
        <w:rPr>
          <w:sz w:val="22"/>
          <w:szCs w:val="22"/>
        </w:rPr>
        <w:t xml:space="preserve">of total businesses which each sector accounts for, </w:t>
      </w:r>
      <w:r w:rsidR="00F8280B" w:rsidRPr="009E3C6C">
        <w:rPr>
          <w:sz w:val="22"/>
          <w:szCs w:val="22"/>
        </w:rPr>
        <w:t>along with the Warwickshire and England averages</w:t>
      </w:r>
      <w:r w:rsidR="00027B7B">
        <w:rPr>
          <w:rStyle w:val="EndnoteReference"/>
          <w:sz w:val="22"/>
          <w:szCs w:val="22"/>
        </w:rPr>
        <w:endnoteReference w:id="33"/>
      </w:r>
      <w:r w:rsidR="00F8280B" w:rsidRPr="009E3C6C">
        <w:rPr>
          <w:sz w:val="22"/>
          <w:szCs w:val="22"/>
        </w:rPr>
        <w:t xml:space="preserve">. </w:t>
      </w:r>
    </w:p>
    <w:p w14:paraId="7FC55981" w14:textId="77777777" w:rsidR="00CB645C" w:rsidRDefault="00CB645C" w:rsidP="00F8060C">
      <w:pPr>
        <w:pStyle w:val="Caption"/>
        <w:keepNext/>
        <w:spacing w:after="120"/>
        <w:ind w:firstLine="0"/>
        <w:rPr>
          <w:i w:val="0"/>
          <w:iCs w:val="0"/>
          <w:color w:val="auto"/>
          <w:sz w:val="22"/>
          <w:szCs w:val="22"/>
        </w:rPr>
      </w:pPr>
    </w:p>
    <w:p w14:paraId="2E44FDA7" w14:textId="77777777" w:rsidR="00CB645C" w:rsidRDefault="00CB645C" w:rsidP="00F8060C">
      <w:pPr>
        <w:pStyle w:val="Caption"/>
        <w:keepNext/>
        <w:spacing w:after="120"/>
        <w:ind w:firstLine="0"/>
        <w:rPr>
          <w:i w:val="0"/>
          <w:iCs w:val="0"/>
          <w:color w:val="auto"/>
          <w:sz w:val="22"/>
          <w:szCs w:val="22"/>
        </w:rPr>
      </w:pPr>
    </w:p>
    <w:p w14:paraId="18452962" w14:textId="77777777" w:rsidR="00CB645C" w:rsidRDefault="00CB645C" w:rsidP="00F8060C">
      <w:pPr>
        <w:pStyle w:val="Caption"/>
        <w:keepNext/>
        <w:spacing w:after="120"/>
        <w:ind w:firstLine="0"/>
        <w:rPr>
          <w:i w:val="0"/>
          <w:iCs w:val="0"/>
          <w:color w:val="auto"/>
          <w:sz w:val="22"/>
          <w:szCs w:val="22"/>
        </w:rPr>
      </w:pPr>
    </w:p>
    <w:p w14:paraId="39B15427" w14:textId="77777777" w:rsidR="00CB645C" w:rsidRDefault="00CB645C" w:rsidP="00F8060C">
      <w:pPr>
        <w:pStyle w:val="Caption"/>
        <w:keepNext/>
        <w:spacing w:after="120"/>
        <w:ind w:firstLine="0"/>
        <w:rPr>
          <w:i w:val="0"/>
          <w:iCs w:val="0"/>
          <w:color w:val="auto"/>
          <w:sz w:val="22"/>
          <w:szCs w:val="22"/>
        </w:rPr>
      </w:pPr>
    </w:p>
    <w:p w14:paraId="6835AA08" w14:textId="77777777" w:rsidR="00685383" w:rsidRPr="00685383" w:rsidRDefault="00685383" w:rsidP="00685383"/>
    <w:p w14:paraId="1A96DB7F" w14:textId="77777777" w:rsidR="00CB645C" w:rsidRDefault="00CB645C" w:rsidP="00F8060C">
      <w:pPr>
        <w:pStyle w:val="Caption"/>
        <w:keepNext/>
        <w:spacing w:after="120"/>
        <w:ind w:firstLine="0"/>
        <w:rPr>
          <w:i w:val="0"/>
          <w:iCs w:val="0"/>
          <w:color w:val="auto"/>
          <w:sz w:val="22"/>
          <w:szCs w:val="22"/>
        </w:rPr>
      </w:pPr>
    </w:p>
    <w:p w14:paraId="715F1827" w14:textId="77777777" w:rsidR="00685383" w:rsidRDefault="00685383">
      <w:pPr>
        <w:spacing w:after="0"/>
        <w:ind w:left="0" w:firstLine="0"/>
        <w:jc w:val="left"/>
        <w:rPr>
          <w:sz w:val="22"/>
          <w:szCs w:val="22"/>
        </w:rPr>
      </w:pPr>
      <w:r>
        <w:rPr>
          <w:i/>
          <w:iCs/>
          <w:sz w:val="22"/>
          <w:szCs w:val="22"/>
        </w:rPr>
        <w:br w:type="page"/>
      </w:r>
    </w:p>
    <w:p w14:paraId="1EDC3994" w14:textId="2FD09E8B" w:rsidR="00E94700" w:rsidRPr="008D7D3E" w:rsidRDefault="00E94700" w:rsidP="00685383">
      <w:pPr>
        <w:pStyle w:val="Caption"/>
        <w:keepNext/>
        <w:spacing w:after="120"/>
        <w:ind w:left="0" w:firstLine="720"/>
        <w:rPr>
          <w:i w:val="0"/>
          <w:iCs w:val="0"/>
          <w:color w:val="auto"/>
          <w:sz w:val="22"/>
          <w:szCs w:val="22"/>
        </w:rPr>
      </w:pPr>
      <w:r w:rsidRPr="008D7D3E">
        <w:rPr>
          <w:i w:val="0"/>
          <w:iCs w:val="0"/>
          <w:color w:val="auto"/>
          <w:sz w:val="22"/>
          <w:szCs w:val="22"/>
        </w:rPr>
        <w:lastRenderedPageBreak/>
        <w:t xml:space="preserve">Table </w:t>
      </w:r>
      <w:r w:rsidR="00F61229" w:rsidRPr="008D7D3E">
        <w:rPr>
          <w:i w:val="0"/>
          <w:iCs w:val="0"/>
          <w:color w:val="auto"/>
          <w:sz w:val="22"/>
          <w:szCs w:val="22"/>
        </w:rPr>
        <w:fldChar w:fldCharType="begin"/>
      </w:r>
      <w:r w:rsidR="00F61229" w:rsidRPr="008D7D3E">
        <w:rPr>
          <w:i w:val="0"/>
          <w:iCs w:val="0"/>
          <w:color w:val="auto"/>
          <w:sz w:val="22"/>
          <w:szCs w:val="22"/>
        </w:rPr>
        <w:instrText xml:space="preserve"> SEQ Table \* ARABIC </w:instrText>
      </w:r>
      <w:r w:rsidR="00F61229" w:rsidRPr="008D7D3E">
        <w:rPr>
          <w:i w:val="0"/>
          <w:iCs w:val="0"/>
          <w:color w:val="auto"/>
          <w:sz w:val="22"/>
          <w:szCs w:val="22"/>
        </w:rPr>
        <w:fldChar w:fldCharType="separate"/>
      </w:r>
      <w:r w:rsidRPr="008D7D3E">
        <w:rPr>
          <w:i w:val="0"/>
          <w:iCs w:val="0"/>
          <w:noProof/>
          <w:color w:val="auto"/>
          <w:sz w:val="22"/>
          <w:szCs w:val="22"/>
        </w:rPr>
        <w:t>11</w:t>
      </w:r>
      <w:r w:rsidR="00F61229" w:rsidRPr="008D7D3E">
        <w:rPr>
          <w:i w:val="0"/>
          <w:iCs w:val="0"/>
          <w:noProof/>
          <w:color w:val="auto"/>
          <w:sz w:val="22"/>
          <w:szCs w:val="22"/>
        </w:rPr>
        <w:fldChar w:fldCharType="end"/>
      </w:r>
    </w:p>
    <w:tbl>
      <w:tblPr>
        <w:tblStyle w:val="PlainTable4"/>
        <w:tblW w:w="10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1276"/>
        <w:gridCol w:w="1225"/>
        <w:gridCol w:w="1226"/>
        <w:gridCol w:w="1226"/>
      </w:tblGrid>
      <w:tr w:rsidR="00E94700" w:rsidRPr="00D674B2" w14:paraId="75476512" w14:textId="77777777" w:rsidTr="006A4A50">
        <w:trPr>
          <w:cnfStyle w:val="100000000000" w:firstRow="1" w:lastRow="0" w:firstColumn="0" w:lastColumn="0" w:oddVBand="0" w:evenVBand="0" w:oddHBand="0"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2A3AED78" w14:textId="77777777" w:rsidR="00E94700" w:rsidRPr="00D674B2" w:rsidRDefault="00E94700" w:rsidP="006A4A50">
            <w:pPr>
              <w:rPr>
                <w:rFonts w:ascii="Times New Roman" w:eastAsia="Times New Roman" w:hAnsi="Times New Roman" w:cs="Times New Roman"/>
                <w:sz w:val="24"/>
                <w:szCs w:val="24"/>
                <w:lang w:eastAsia="en-GB"/>
              </w:rPr>
            </w:pPr>
          </w:p>
        </w:tc>
        <w:tc>
          <w:tcPr>
            <w:tcW w:w="1276" w:type="dxa"/>
            <w:noWrap/>
            <w:hideMark/>
          </w:tcPr>
          <w:p w14:paraId="31B4DBB4" w14:textId="77777777" w:rsidR="00E94700" w:rsidRPr="009D07DB" w:rsidRDefault="00E94700" w:rsidP="006A4A50">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eastAsia="Times New Roman" w:cs="Calibri"/>
                <w:color w:val="000000"/>
                <w:sz w:val="20"/>
                <w:szCs w:val="20"/>
                <w:lang w:eastAsia="en-GB"/>
              </w:rPr>
              <w:t>SOA</w:t>
            </w:r>
          </w:p>
        </w:tc>
        <w:tc>
          <w:tcPr>
            <w:tcW w:w="1225" w:type="dxa"/>
            <w:noWrap/>
            <w:hideMark/>
          </w:tcPr>
          <w:p w14:paraId="025D4A55" w14:textId="77777777" w:rsidR="00E94700" w:rsidRPr="009D07DB" w:rsidRDefault="00E94700" w:rsidP="006A4A50">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eastAsia="Times New Roman" w:cs="Calibri"/>
                <w:color w:val="000000"/>
                <w:sz w:val="20"/>
                <w:szCs w:val="20"/>
                <w:lang w:eastAsia="en-GB"/>
              </w:rPr>
              <w:t>SOA</w:t>
            </w:r>
          </w:p>
        </w:tc>
        <w:tc>
          <w:tcPr>
            <w:tcW w:w="1226" w:type="dxa"/>
            <w:noWrap/>
            <w:hideMark/>
          </w:tcPr>
          <w:p w14:paraId="4FF94C5C" w14:textId="77777777" w:rsidR="00E94700" w:rsidRPr="009D07DB" w:rsidRDefault="00E94700" w:rsidP="006A4A50">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eastAsia="Times New Roman" w:cs="Calibri"/>
                <w:color w:val="000000"/>
                <w:sz w:val="20"/>
                <w:szCs w:val="20"/>
                <w:lang w:eastAsia="en-GB"/>
              </w:rPr>
              <w:t>Warks</w:t>
            </w:r>
          </w:p>
        </w:tc>
        <w:tc>
          <w:tcPr>
            <w:tcW w:w="1226" w:type="dxa"/>
            <w:noWrap/>
            <w:hideMark/>
          </w:tcPr>
          <w:p w14:paraId="29F34915" w14:textId="77777777" w:rsidR="00E94700" w:rsidRPr="009D07DB" w:rsidRDefault="00E94700" w:rsidP="006A4A50">
            <w:pPr>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eastAsia="Times New Roman" w:cs="Calibri"/>
                <w:color w:val="000000"/>
                <w:sz w:val="20"/>
                <w:szCs w:val="20"/>
                <w:lang w:eastAsia="en-GB"/>
              </w:rPr>
              <w:t>England</w:t>
            </w:r>
          </w:p>
        </w:tc>
      </w:tr>
      <w:tr w:rsidR="00E94700" w:rsidRPr="00D674B2" w14:paraId="4172CE9E"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4EFD5774" w14:textId="77777777" w:rsidR="00E94700" w:rsidRPr="00D674B2" w:rsidRDefault="00E94700" w:rsidP="006A4A50">
            <w:pPr>
              <w:rPr>
                <w:rFonts w:ascii="Calibri" w:eastAsia="Times New Roman" w:hAnsi="Calibri" w:cs="Calibri"/>
                <w:color w:val="000000"/>
                <w:lang w:eastAsia="en-GB"/>
              </w:rPr>
            </w:pPr>
          </w:p>
        </w:tc>
        <w:tc>
          <w:tcPr>
            <w:tcW w:w="1276" w:type="dxa"/>
            <w:noWrap/>
            <w:vAlign w:val="center"/>
            <w:hideMark/>
          </w:tcPr>
          <w:p w14:paraId="6810D6FA"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b/>
                <w:i/>
                <w:color w:val="000000"/>
                <w:sz w:val="20"/>
                <w:szCs w:val="20"/>
                <w:lang w:eastAsia="en-GB"/>
              </w:rPr>
            </w:pPr>
            <w:r w:rsidRPr="009D07DB">
              <w:rPr>
                <w:rFonts w:eastAsia="Times New Roman" w:cs="Calibri"/>
                <w:b/>
                <w:i/>
                <w:color w:val="000000"/>
                <w:sz w:val="20"/>
                <w:szCs w:val="20"/>
                <w:lang w:eastAsia="en-GB"/>
              </w:rPr>
              <w:t>Count</w:t>
            </w:r>
          </w:p>
        </w:tc>
        <w:tc>
          <w:tcPr>
            <w:tcW w:w="1225" w:type="dxa"/>
            <w:noWrap/>
            <w:vAlign w:val="center"/>
            <w:hideMark/>
          </w:tcPr>
          <w:p w14:paraId="69142CDA"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b/>
                <w:i/>
                <w:color w:val="000000"/>
                <w:sz w:val="20"/>
                <w:szCs w:val="20"/>
                <w:lang w:eastAsia="en-GB"/>
              </w:rPr>
            </w:pPr>
            <w:r w:rsidRPr="009D07DB">
              <w:rPr>
                <w:rFonts w:eastAsia="Times New Roman" w:cs="Calibri"/>
                <w:b/>
                <w:i/>
                <w:color w:val="000000"/>
                <w:sz w:val="20"/>
                <w:szCs w:val="20"/>
                <w:lang w:eastAsia="en-GB"/>
              </w:rPr>
              <w:t>%</w:t>
            </w:r>
          </w:p>
        </w:tc>
        <w:tc>
          <w:tcPr>
            <w:tcW w:w="1226" w:type="dxa"/>
            <w:noWrap/>
            <w:vAlign w:val="center"/>
            <w:hideMark/>
          </w:tcPr>
          <w:p w14:paraId="4609A6F3"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b/>
                <w:i/>
                <w:color w:val="000000"/>
                <w:sz w:val="20"/>
                <w:szCs w:val="20"/>
                <w:lang w:eastAsia="en-GB"/>
              </w:rPr>
            </w:pPr>
            <w:r w:rsidRPr="009D07DB">
              <w:rPr>
                <w:rFonts w:eastAsia="Times New Roman" w:cs="Calibri"/>
                <w:b/>
                <w:i/>
                <w:color w:val="000000"/>
                <w:sz w:val="20"/>
                <w:szCs w:val="20"/>
                <w:lang w:eastAsia="en-GB"/>
              </w:rPr>
              <w:t>%</w:t>
            </w:r>
          </w:p>
        </w:tc>
        <w:tc>
          <w:tcPr>
            <w:tcW w:w="1226" w:type="dxa"/>
            <w:noWrap/>
            <w:vAlign w:val="center"/>
            <w:hideMark/>
          </w:tcPr>
          <w:p w14:paraId="7B568680"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b/>
                <w:i/>
                <w:color w:val="000000"/>
                <w:sz w:val="20"/>
                <w:szCs w:val="20"/>
                <w:lang w:eastAsia="en-GB"/>
              </w:rPr>
            </w:pPr>
            <w:r w:rsidRPr="009D07DB">
              <w:rPr>
                <w:rFonts w:eastAsia="Times New Roman" w:cs="Calibri"/>
                <w:b/>
                <w:i/>
                <w:color w:val="000000"/>
                <w:sz w:val="20"/>
                <w:szCs w:val="20"/>
                <w:lang w:eastAsia="en-GB"/>
              </w:rPr>
              <w:t>%</w:t>
            </w:r>
          </w:p>
        </w:tc>
      </w:tr>
      <w:tr w:rsidR="00E94700" w:rsidRPr="00D674B2" w14:paraId="68A29C18"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6C6D4F73"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 Agriculture, forestry &amp; fishing (A)</w:t>
            </w:r>
          </w:p>
        </w:tc>
        <w:tc>
          <w:tcPr>
            <w:tcW w:w="1276" w:type="dxa"/>
            <w:noWrap/>
            <w:vAlign w:val="bottom"/>
            <w:hideMark/>
          </w:tcPr>
          <w:p w14:paraId="388DD6A1"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740</w:t>
            </w:r>
          </w:p>
        </w:tc>
        <w:tc>
          <w:tcPr>
            <w:tcW w:w="1225" w:type="dxa"/>
            <w:noWrap/>
            <w:vAlign w:val="bottom"/>
            <w:hideMark/>
          </w:tcPr>
          <w:p w14:paraId="346FAF0A"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8.93</w:t>
            </w:r>
          </w:p>
        </w:tc>
        <w:tc>
          <w:tcPr>
            <w:tcW w:w="1226" w:type="dxa"/>
            <w:noWrap/>
            <w:vAlign w:val="bottom"/>
            <w:hideMark/>
          </w:tcPr>
          <w:p w14:paraId="3B9AD039"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5.09</w:t>
            </w:r>
          </w:p>
        </w:tc>
        <w:tc>
          <w:tcPr>
            <w:tcW w:w="1226" w:type="dxa"/>
            <w:noWrap/>
            <w:vAlign w:val="bottom"/>
            <w:hideMark/>
          </w:tcPr>
          <w:p w14:paraId="3D330063"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3.82</w:t>
            </w:r>
          </w:p>
        </w:tc>
      </w:tr>
      <w:tr w:rsidR="00E94700" w:rsidRPr="00D674B2" w14:paraId="0C8894A2"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414B4585"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2: Mining, quarrying &amp; utilities (B)</w:t>
            </w:r>
          </w:p>
        </w:tc>
        <w:tc>
          <w:tcPr>
            <w:tcW w:w="1276" w:type="dxa"/>
            <w:noWrap/>
            <w:vAlign w:val="bottom"/>
            <w:hideMark/>
          </w:tcPr>
          <w:p w14:paraId="7FB6E25E"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0</w:t>
            </w:r>
          </w:p>
        </w:tc>
        <w:tc>
          <w:tcPr>
            <w:tcW w:w="1225" w:type="dxa"/>
            <w:noWrap/>
            <w:vAlign w:val="bottom"/>
            <w:hideMark/>
          </w:tcPr>
          <w:p w14:paraId="2617354C"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0.00</w:t>
            </w:r>
          </w:p>
        </w:tc>
        <w:tc>
          <w:tcPr>
            <w:tcW w:w="1226" w:type="dxa"/>
            <w:noWrap/>
            <w:vAlign w:val="bottom"/>
            <w:hideMark/>
          </w:tcPr>
          <w:p w14:paraId="636475E8"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0.04</w:t>
            </w:r>
          </w:p>
        </w:tc>
        <w:tc>
          <w:tcPr>
            <w:tcW w:w="1226" w:type="dxa"/>
            <w:noWrap/>
            <w:vAlign w:val="bottom"/>
            <w:hideMark/>
          </w:tcPr>
          <w:p w14:paraId="200C2232"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0.04</w:t>
            </w:r>
          </w:p>
        </w:tc>
      </w:tr>
      <w:tr w:rsidR="00E94700" w:rsidRPr="00D674B2" w14:paraId="47D84E00"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6EBAD4BA"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3: Manufacturing (C)</w:t>
            </w:r>
          </w:p>
        </w:tc>
        <w:tc>
          <w:tcPr>
            <w:tcW w:w="1276" w:type="dxa"/>
            <w:noWrap/>
            <w:vAlign w:val="bottom"/>
            <w:hideMark/>
          </w:tcPr>
          <w:p w14:paraId="107FE786"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445</w:t>
            </w:r>
          </w:p>
        </w:tc>
        <w:tc>
          <w:tcPr>
            <w:tcW w:w="1225" w:type="dxa"/>
            <w:noWrap/>
            <w:vAlign w:val="bottom"/>
            <w:hideMark/>
          </w:tcPr>
          <w:p w14:paraId="15E1AE37"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5.37</w:t>
            </w:r>
          </w:p>
        </w:tc>
        <w:tc>
          <w:tcPr>
            <w:tcW w:w="1226" w:type="dxa"/>
            <w:noWrap/>
            <w:vAlign w:val="bottom"/>
            <w:hideMark/>
          </w:tcPr>
          <w:p w14:paraId="0DE51FBE"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5.80</w:t>
            </w:r>
          </w:p>
        </w:tc>
        <w:tc>
          <w:tcPr>
            <w:tcW w:w="1226" w:type="dxa"/>
            <w:noWrap/>
            <w:vAlign w:val="bottom"/>
            <w:hideMark/>
          </w:tcPr>
          <w:p w14:paraId="29FF727F"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4.99</w:t>
            </w:r>
          </w:p>
        </w:tc>
      </w:tr>
      <w:tr w:rsidR="00E94700" w:rsidRPr="00D674B2" w14:paraId="19BFD7E8"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tcPr>
          <w:p w14:paraId="50352400"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4: Electricity, gas, steam and air conditioning (D)</w:t>
            </w:r>
          </w:p>
        </w:tc>
        <w:tc>
          <w:tcPr>
            <w:tcW w:w="1276" w:type="dxa"/>
            <w:noWrap/>
            <w:vAlign w:val="bottom"/>
          </w:tcPr>
          <w:p w14:paraId="21B2F137"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5</w:t>
            </w:r>
          </w:p>
        </w:tc>
        <w:tc>
          <w:tcPr>
            <w:tcW w:w="1225" w:type="dxa"/>
            <w:noWrap/>
            <w:vAlign w:val="bottom"/>
          </w:tcPr>
          <w:p w14:paraId="68DC7CF5"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themeColor="text1"/>
                <w:sz w:val="20"/>
                <w:szCs w:val="20"/>
                <w:lang w:eastAsia="en-GB"/>
              </w:rPr>
            </w:pPr>
            <w:r w:rsidRPr="009D07DB">
              <w:rPr>
                <w:rFonts w:cs="Calibri"/>
                <w:i/>
                <w:iCs/>
                <w:color w:val="000000"/>
                <w:sz w:val="20"/>
                <w:szCs w:val="20"/>
              </w:rPr>
              <w:t>0.06</w:t>
            </w:r>
          </w:p>
        </w:tc>
        <w:tc>
          <w:tcPr>
            <w:tcW w:w="1226" w:type="dxa"/>
            <w:noWrap/>
            <w:vAlign w:val="bottom"/>
          </w:tcPr>
          <w:p w14:paraId="6DB2A2C3"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0.18</w:t>
            </w:r>
          </w:p>
        </w:tc>
        <w:tc>
          <w:tcPr>
            <w:tcW w:w="1226" w:type="dxa"/>
            <w:noWrap/>
            <w:vAlign w:val="bottom"/>
          </w:tcPr>
          <w:p w14:paraId="791AF1EC"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0.18</w:t>
            </w:r>
          </w:p>
        </w:tc>
      </w:tr>
      <w:tr w:rsidR="00E94700" w:rsidRPr="00D674B2" w14:paraId="16F3955C"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tcPr>
          <w:p w14:paraId="6FCAABC8"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5: Water supply; sewerage, waste management etc (E)</w:t>
            </w:r>
          </w:p>
        </w:tc>
        <w:tc>
          <w:tcPr>
            <w:tcW w:w="1276" w:type="dxa"/>
            <w:noWrap/>
            <w:vAlign w:val="bottom"/>
          </w:tcPr>
          <w:p w14:paraId="4D2D02F4"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25</w:t>
            </w:r>
          </w:p>
        </w:tc>
        <w:tc>
          <w:tcPr>
            <w:tcW w:w="1225" w:type="dxa"/>
            <w:noWrap/>
            <w:vAlign w:val="bottom"/>
          </w:tcPr>
          <w:p w14:paraId="52D728AD"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themeColor="text1"/>
                <w:sz w:val="20"/>
                <w:szCs w:val="20"/>
                <w:lang w:eastAsia="en-GB"/>
              </w:rPr>
            </w:pPr>
            <w:r w:rsidRPr="009D07DB">
              <w:rPr>
                <w:rFonts w:cs="Calibri"/>
                <w:i/>
                <w:iCs/>
                <w:color w:val="000000"/>
                <w:sz w:val="20"/>
                <w:szCs w:val="20"/>
              </w:rPr>
              <w:t>0.30</w:t>
            </w:r>
          </w:p>
        </w:tc>
        <w:tc>
          <w:tcPr>
            <w:tcW w:w="1226" w:type="dxa"/>
            <w:noWrap/>
            <w:vAlign w:val="bottom"/>
          </w:tcPr>
          <w:p w14:paraId="23404D1E"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0.29</w:t>
            </w:r>
          </w:p>
        </w:tc>
        <w:tc>
          <w:tcPr>
            <w:tcW w:w="1226" w:type="dxa"/>
            <w:noWrap/>
            <w:vAlign w:val="bottom"/>
          </w:tcPr>
          <w:p w14:paraId="74DB2A53"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0.30</w:t>
            </w:r>
          </w:p>
        </w:tc>
      </w:tr>
      <w:tr w:rsidR="00E94700" w:rsidRPr="00D674B2" w14:paraId="0771E75C"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19B5B0C8"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6: Construction (F)</w:t>
            </w:r>
          </w:p>
        </w:tc>
        <w:tc>
          <w:tcPr>
            <w:tcW w:w="1276" w:type="dxa"/>
            <w:noWrap/>
            <w:vAlign w:val="bottom"/>
            <w:hideMark/>
          </w:tcPr>
          <w:p w14:paraId="6A4BB1A2"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920</w:t>
            </w:r>
          </w:p>
        </w:tc>
        <w:tc>
          <w:tcPr>
            <w:tcW w:w="1225" w:type="dxa"/>
            <w:noWrap/>
            <w:vAlign w:val="bottom"/>
            <w:hideMark/>
          </w:tcPr>
          <w:p w14:paraId="74EA90E7"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11.1</w:t>
            </w:r>
          </w:p>
        </w:tc>
        <w:tc>
          <w:tcPr>
            <w:tcW w:w="1226" w:type="dxa"/>
            <w:noWrap/>
            <w:vAlign w:val="bottom"/>
            <w:hideMark/>
          </w:tcPr>
          <w:p w14:paraId="65C5F430"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10.76</w:t>
            </w:r>
          </w:p>
        </w:tc>
        <w:tc>
          <w:tcPr>
            <w:tcW w:w="1226" w:type="dxa"/>
            <w:noWrap/>
            <w:vAlign w:val="bottom"/>
            <w:hideMark/>
          </w:tcPr>
          <w:p w14:paraId="7635C275"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13.05</w:t>
            </w:r>
          </w:p>
        </w:tc>
      </w:tr>
      <w:tr w:rsidR="00E94700" w:rsidRPr="00D674B2" w14:paraId="4067E95C"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37C57AC8" w14:textId="77777777" w:rsidR="00E94700" w:rsidRPr="00DD7674" w:rsidRDefault="00E94700" w:rsidP="00DD7674">
            <w:pPr>
              <w:ind w:left="314" w:hanging="314"/>
              <w:rPr>
                <w:rFonts w:eastAsia="Times New Roman" w:cs="Calibri"/>
                <w:color w:val="000000"/>
                <w:sz w:val="16"/>
                <w:szCs w:val="16"/>
                <w:lang w:eastAsia="en-GB"/>
              </w:rPr>
            </w:pPr>
            <w:r w:rsidRPr="00DD7674">
              <w:rPr>
                <w:rFonts w:eastAsia="Times New Roman" w:cs="Calibri"/>
                <w:color w:val="000000"/>
                <w:sz w:val="16"/>
                <w:szCs w:val="16"/>
                <w:lang w:eastAsia="en-GB"/>
              </w:rPr>
              <w:t>7: Wholesale/retail trade; repair of motor vehicles and motorcycles (G)</w:t>
            </w:r>
          </w:p>
        </w:tc>
        <w:tc>
          <w:tcPr>
            <w:tcW w:w="1276" w:type="dxa"/>
            <w:noWrap/>
            <w:vAlign w:val="bottom"/>
            <w:hideMark/>
          </w:tcPr>
          <w:p w14:paraId="2E0413A3"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1,030</w:t>
            </w:r>
          </w:p>
        </w:tc>
        <w:tc>
          <w:tcPr>
            <w:tcW w:w="1225" w:type="dxa"/>
            <w:noWrap/>
            <w:vAlign w:val="bottom"/>
            <w:hideMark/>
          </w:tcPr>
          <w:p w14:paraId="6D722AE8"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12.4</w:t>
            </w:r>
          </w:p>
        </w:tc>
        <w:tc>
          <w:tcPr>
            <w:tcW w:w="1226" w:type="dxa"/>
            <w:noWrap/>
            <w:vAlign w:val="bottom"/>
            <w:hideMark/>
          </w:tcPr>
          <w:p w14:paraId="4FE4E630"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12.93</w:t>
            </w:r>
          </w:p>
        </w:tc>
        <w:tc>
          <w:tcPr>
            <w:tcW w:w="1226" w:type="dxa"/>
            <w:noWrap/>
            <w:vAlign w:val="bottom"/>
            <w:hideMark/>
          </w:tcPr>
          <w:p w14:paraId="1B5FAC76"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14.78</w:t>
            </w:r>
          </w:p>
        </w:tc>
      </w:tr>
      <w:tr w:rsidR="00E94700" w:rsidRPr="00D674B2" w14:paraId="2B41958C"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6D7034A1" w14:textId="241DF37A"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8: Transport &amp; storage (</w:t>
            </w:r>
            <w:r w:rsidR="00CD1F68" w:rsidRPr="00DD7674">
              <w:rPr>
                <w:rFonts w:eastAsia="Times New Roman" w:cs="Calibri"/>
                <w:color w:val="000000"/>
                <w:sz w:val="16"/>
                <w:szCs w:val="16"/>
                <w:lang w:eastAsia="en-GB"/>
              </w:rPr>
              <w:t>inc</w:t>
            </w:r>
            <w:r w:rsidR="00CD1F68" w:rsidRPr="00DD7674">
              <w:rPr>
                <w:rFonts w:cs="Calibri"/>
                <w:b w:val="0"/>
                <w:bCs w:val="0"/>
                <w:color w:val="000000"/>
                <w:sz w:val="16"/>
                <w:szCs w:val="16"/>
                <w:lang w:eastAsia="en-GB"/>
              </w:rPr>
              <w:t>.</w:t>
            </w:r>
            <w:r w:rsidRPr="00DD7674">
              <w:rPr>
                <w:rFonts w:eastAsia="Times New Roman" w:cs="Calibri"/>
                <w:color w:val="000000"/>
                <w:sz w:val="16"/>
                <w:szCs w:val="16"/>
                <w:lang w:eastAsia="en-GB"/>
              </w:rPr>
              <w:t xml:space="preserve"> postal) (H)</w:t>
            </w:r>
          </w:p>
        </w:tc>
        <w:tc>
          <w:tcPr>
            <w:tcW w:w="1276" w:type="dxa"/>
            <w:noWrap/>
            <w:vAlign w:val="bottom"/>
            <w:hideMark/>
          </w:tcPr>
          <w:p w14:paraId="049FE5E6"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270</w:t>
            </w:r>
          </w:p>
        </w:tc>
        <w:tc>
          <w:tcPr>
            <w:tcW w:w="1225" w:type="dxa"/>
            <w:noWrap/>
            <w:vAlign w:val="bottom"/>
            <w:hideMark/>
          </w:tcPr>
          <w:p w14:paraId="05436121"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3.26</w:t>
            </w:r>
          </w:p>
        </w:tc>
        <w:tc>
          <w:tcPr>
            <w:tcW w:w="1226" w:type="dxa"/>
            <w:noWrap/>
            <w:vAlign w:val="bottom"/>
            <w:hideMark/>
          </w:tcPr>
          <w:p w14:paraId="04F1E7CA"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7.53</w:t>
            </w:r>
          </w:p>
        </w:tc>
        <w:tc>
          <w:tcPr>
            <w:tcW w:w="1226" w:type="dxa"/>
            <w:noWrap/>
            <w:vAlign w:val="bottom"/>
            <w:hideMark/>
          </w:tcPr>
          <w:p w14:paraId="4F55D7B8"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5.10</w:t>
            </w:r>
          </w:p>
        </w:tc>
      </w:tr>
      <w:tr w:rsidR="00E94700" w:rsidRPr="00D674B2" w14:paraId="076154EA"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0E12DE53"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9: Accommodation &amp; food services (I)</w:t>
            </w:r>
          </w:p>
        </w:tc>
        <w:tc>
          <w:tcPr>
            <w:tcW w:w="1276" w:type="dxa"/>
            <w:noWrap/>
            <w:vAlign w:val="bottom"/>
            <w:hideMark/>
          </w:tcPr>
          <w:p w14:paraId="04E7CE0E"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475</w:t>
            </w:r>
          </w:p>
        </w:tc>
        <w:tc>
          <w:tcPr>
            <w:tcW w:w="1225" w:type="dxa"/>
            <w:noWrap/>
            <w:vAlign w:val="bottom"/>
            <w:hideMark/>
          </w:tcPr>
          <w:p w14:paraId="4BD88F88"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5.73</w:t>
            </w:r>
          </w:p>
        </w:tc>
        <w:tc>
          <w:tcPr>
            <w:tcW w:w="1226" w:type="dxa"/>
            <w:noWrap/>
            <w:vAlign w:val="bottom"/>
            <w:hideMark/>
          </w:tcPr>
          <w:p w14:paraId="4E0720D5"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5.29</w:t>
            </w:r>
          </w:p>
        </w:tc>
        <w:tc>
          <w:tcPr>
            <w:tcW w:w="1226" w:type="dxa"/>
            <w:noWrap/>
            <w:vAlign w:val="bottom"/>
            <w:hideMark/>
          </w:tcPr>
          <w:p w14:paraId="02836FB6"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5.78</w:t>
            </w:r>
          </w:p>
        </w:tc>
      </w:tr>
      <w:tr w:rsidR="00E94700" w:rsidRPr="00D674B2" w14:paraId="5C57E184"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3C03468A"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10: Information &amp; communication (J)</w:t>
            </w:r>
          </w:p>
        </w:tc>
        <w:tc>
          <w:tcPr>
            <w:tcW w:w="1276" w:type="dxa"/>
            <w:noWrap/>
            <w:vAlign w:val="bottom"/>
            <w:hideMark/>
          </w:tcPr>
          <w:p w14:paraId="64B5E913"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475</w:t>
            </w:r>
          </w:p>
        </w:tc>
        <w:tc>
          <w:tcPr>
            <w:tcW w:w="1225" w:type="dxa"/>
            <w:noWrap/>
            <w:vAlign w:val="bottom"/>
            <w:hideMark/>
          </w:tcPr>
          <w:p w14:paraId="31BB5D5D"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5.73</w:t>
            </w:r>
          </w:p>
        </w:tc>
        <w:tc>
          <w:tcPr>
            <w:tcW w:w="1226" w:type="dxa"/>
            <w:noWrap/>
            <w:vAlign w:val="bottom"/>
            <w:hideMark/>
          </w:tcPr>
          <w:p w14:paraId="7BF97BFE"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6.95</w:t>
            </w:r>
          </w:p>
        </w:tc>
        <w:tc>
          <w:tcPr>
            <w:tcW w:w="1226" w:type="dxa"/>
            <w:noWrap/>
            <w:vAlign w:val="bottom"/>
            <w:hideMark/>
          </w:tcPr>
          <w:p w14:paraId="2D16BCDB"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8.19</w:t>
            </w:r>
          </w:p>
        </w:tc>
      </w:tr>
      <w:tr w:rsidR="00E94700" w:rsidRPr="00D674B2" w14:paraId="15BFE41C"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32737B7E"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11: Financial &amp; insurance (K)</w:t>
            </w:r>
          </w:p>
        </w:tc>
        <w:tc>
          <w:tcPr>
            <w:tcW w:w="1276" w:type="dxa"/>
            <w:noWrap/>
            <w:vAlign w:val="bottom"/>
            <w:hideMark/>
          </w:tcPr>
          <w:p w14:paraId="135551E4"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150</w:t>
            </w:r>
          </w:p>
        </w:tc>
        <w:tc>
          <w:tcPr>
            <w:tcW w:w="1225" w:type="dxa"/>
            <w:noWrap/>
            <w:vAlign w:val="bottom"/>
            <w:hideMark/>
          </w:tcPr>
          <w:p w14:paraId="4B334562"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1.81</w:t>
            </w:r>
          </w:p>
        </w:tc>
        <w:tc>
          <w:tcPr>
            <w:tcW w:w="1226" w:type="dxa"/>
            <w:noWrap/>
            <w:vAlign w:val="bottom"/>
            <w:hideMark/>
          </w:tcPr>
          <w:p w14:paraId="08F9AB3A"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1.66</w:t>
            </w:r>
          </w:p>
        </w:tc>
        <w:tc>
          <w:tcPr>
            <w:tcW w:w="1226" w:type="dxa"/>
            <w:noWrap/>
            <w:vAlign w:val="bottom"/>
            <w:hideMark/>
          </w:tcPr>
          <w:p w14:paraId="6D2A95C0"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2.29</w:t>
            </w:r>
          </w:p>
        </w:tc>
      </w:tr>
      <w:tr w:rsidR="00E94700" w:rsidRPr="00D674B2" w14:paraId="275252DB"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7D9EB54C"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12: Property (L)</w:t>
            </w:r>
          </w:p>
        </w:tc>
        <w:tc>
          <w:tcPr>
            <w:tcW w:w="1276" w:type="dxa"/>
            <w:noWrap/>
            <w:vAlign w:val="bottom"/>
            <w:hideMark/>
          </w:tcPr>
          <w:p w14:paraId="4C9E2E7A"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375</w:t>
            </w:r>
          </w:p>
        </w:tc>
        <w:tc>
          <w:tcPr>
            <w:tcW w:w="1225" w:type="dxa"/>
            <w:noWrap/>
            <w:vAlign w:val="bottom"/>
            <w:hideMark/>
          </w:tcPr>
          <w:p w14:paraId="6B69E08D"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4.52</w:t>
            </w:r>
          </w:p>
        </w:tc>
        <w:tc>
          <w:tcPr>
            <w:tcW w:w="1226" w:type="dxa"/>
            <w:noWrap/>
            <w:vAlign w:val="bottom"/>
            <w:hideMark/>
          </w:tcPr>
          <w:p w14:paraId="57D86015"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3.90</w:t>
            </w:r>
          </w:p>
        </w:tc>
        <w:tc>
          <w:tcPr>
            <w:tcW w:w="1226" w:type="dxa"/>
            <w:noWrap/>
            <w:vAlign w:val="bottom"/>
            <w:hideMark/>
          </w:tcPr>
          <w:p w14:paraId="22EADDF9"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3.91</w:t>
            </w:r>
          </w:p>
        </w:tc>
      </w:tr>
      <w:tr w:rsidR="00E94700" w:rsidRPr="00D674B2" w14:paraId="48F107CA"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1C415448"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13: Professional, scientific &amp; technical (M)</w:t>
            </w:r>
          </w:p>
        </w:tc>
        <w:tc>
          <w:tcPr>
            <w:tcW w:w="1276" w:type="dxa"/>
            <w:noWrap/>
            <w:vAlign w:val="bottom"/>
            <w:hideMark/>
          </w:tcPr>
          <w:p w14:paraId="114B14E4"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1,710</w:t>
            </w:r>
          </w:p>
        </w:tc>
        <w:tc>
          <w:tcPr>
            <w:tcW w:w="1225" w:type="dxa"/>
            <w:noWrap/>
            <w:vAlign w:val="bottom"/>
            <w:hideMark/>
          </w:tcPr>
          <w:p w14:paraId="086D344A"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20.6</w:t>
            </w:r>
          </w:p>
        </w:tc>
        <w:tc>
          <w:tcPr>
            <w:tcW w:w="1226" w:type="dxa"/>
            <w:noWrap/>
            <w:vAlign w:val="bottom"/>
            <w:hideMark/>
          </w:tcPr>
          <w:p w14:paraId="607BBCF8"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19.01</w:t>
            </w:r>
          </w:p>
        </w:tc>
        <w:tc>
          <w:tcPr>
            <w:tcW w:w="1226" w:type="dxa"/>
            <w:noWrap/>
            <w:vAlign w:val="bottom"/>
            <w:hideMark/>
          </w:tcPr>
          <w:p w14:paraId="060D57E1"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16.89</w:t>
            </w:r>
          </w:p>
        </w:tc>
      </w:tr>
      <w:tr w:rsidR="00E94700" w:rsidRPr="00D674B2" w14:paraId="47B016DC"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hideMark/>
          </w:tcPr>
          <w:p w14:paraId="61C49AEF"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14: Business administration &amp; support services (N)</w:t>
            </w:r>
          </w:p>
        </w:tc>
        <w:tc>
          <w:tcPr>
            <w:tcW w:w="1276" w:type="dxa"/>
            <w:noWrap/>
            <w:vAlign w:val="bottom"/>
            <w:hideMark/>
          </w:tcPr>
          <w:p w14:paraId="4E78B8C3"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720</w:t>
            </w:r>
          </w:p>
        </w:tc>
        <w:tc>
          <w:tcPr>
            <w:tcW w:w="1225" w:type="dxa"/>
            <w:noWrap/>
            <w:vAlign w:val="bottom"/>
            <w:hideMark/>
          </w:tcPr>
          <w:p w14:paraId="0854E6F0"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8.69</w:t>
            </w:r>
          </w:p>
        </w:tc>
        <w:tc>
          <w:tcPr>
            <w:tcW w:w="1226" w:type="dxa"/>
            <w:noWrap/>
            <w:vAlign w:val="bottom"/>
            <w:hideMark/>
          </w:tcPr>
          <w:p w14:paraId="3C2C2D5A"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9.59</w:t>
            </w:r>
          </w:p>
        </w:tc>
        <w:tc>
          <w:tcPr>
            <w:tcW w:w="1226" w:type="dxa"/>
            <w:noWrap/>
            <w:vAlign w:val="bottom"/>
            <w:hideMark/>
          </w:tcPr>
          <w:p w14:paraId="05D496F6"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8.56</w:t>
            </w:r>
          </w:p>
        </w:tc>
      </w:tr>
      <w:tr w:rsidR="00E94700" w:rsidRPr="00D674B2" w14:paraId="6E3EB5C1"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tcPr>
          <w:p w14:paraId="4969D84D"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15:  Public administration &amp; defence (O)</w:t>
            </w:r>
          </w:p>
        </w:tc>
        <w:tc>
          <w:tcPr>
            <w:tcW w:w="1276" w:type="dxa"/>
            <w:noWrap/>
            <w:vAlign w:val="bottom"/>
          </w:tcPr>
          <w:p w14:paraId="7C9BEEC4"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55</w:t>
            </w:r>
          </w:p>
        </w:tc>
        <w:tc>
          <w:tcPr>
            <w:tcW w:w="1225" w:type="dxa"/>
            <w:noWrap/>
            <w:vAlign w:val="bottom"/>
          </w:tcPr>
          <w:p w14:paraId="0523CB85"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0.66</w:t>
            </w:r>
          </w:p>
        </w:tc>
        <w:tc>
          <w:tcPr>
            <w:tcW w:w="1226" w:type="dxa"/>
            <w:noWrap/>
            <w:vAlign w:val="bottom"/>
          </w:tcPr>
          <w:p w14:paraId="49435999"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0.43</w:t>
            </w:r>
          </w:p>
        </w:tc>
        <w:tc>
          <w:tcPr>
            <w:tcW w:w="1226" w:type="dxa"/>
            <w:noWrap/>
            <w:vAlign w:val="bottom"/>
          </w:tcPr>
          <w:p w14:paraId="37D129D6"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0.29</w:t>
            </w:r>
          </w:p>
        </w:tc>
      </w:tr>
      <w:tr w:rsidR="00E94700" w:rsidRPr="00D674B2" w14:paraId="771F0FC6"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tcPr>
          <w:p w14:paraId="76CFA419"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16: Education (P)</w:t>
            </w:r>
          </w:p>
        </w:tc>
        <w:tc>
          <w:tcPr>
            <w:tcW w:w="1276" w:type="dxa"/>
            <w:noWrap/>
            <w:vAlign w:val="bottom"/>
          </w:tcPr>
          <w:p w14:paraId="16D73E02"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150</w:t>
            </w:r>
          </w:p>
        </w:tc>
        <w:tc>
          <w:tcPr>
            <w:tcW w:w="1225" w:type="dxa"/>
            <w:noWrap/>
            <w:vAlign w:val="bottom"/>
          </w:tcPr>
          <w:p w14:paraId="5A728DFE"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1.81</w:t>
            </w:r>
          </w:p>
        </w:tc>
        <w:tc>
          <w:tcPr>
            <w:tcW w:w="1226" w:type="dxa"/>
            <w:noWrap/>
            <w:vAlign w:val="bottom"/>
          </w:tcPr>
          <w:p w14:paraId="77BE3D1C"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1.75</w:t>
            </w:r>
          </w:p>
        </w:tc>
        <w:tc>
          <w:tcPr>
            <w:tcW w:w="1226" w:type="dxa"/>
            <w:noWrap/>
            <w:vAlign w:val="bottom"/>
          </w:tcPr>
          <w:p w14:paraId="583B5454"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1.72</w:t>
            </w:r>
          </w:p>
        </w:tc>
      </w:tr>
      <w:tr w:rsidR="00E94700" w:rsidRPr="00D674B2" w14:paraId="54E747C2"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tcPr>
          <w:p w14:paraId="7DAD2965"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17: Health (Q)</w:t>
            </w:r>
          </w:p>
        </w:tc>
        <w:tc>
          <w:tcPr>
            <w:tcW w:w="1276" w:type="dxa"/>
            <w:noWrap/>
            <w:vAlign w:val="bottom"/>
          </w:tcPr>
          <w:p w14:paraId="7719FB4D"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230</w:t>
            </w:r>
          </w:p>
        </w:tc>
        <w:tc>
          <w:tcPr>
            <w:tcW w:w="1225" w:type="dxa"/>
            <w:noWrap/>
            <w:vAlign w:val="bottom"/>
          </w:tcPr>
          <w:p w14:paraId="3ACAC3AA"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2.77</w:t>
            </w:r>
          </w:p>
        </w:tc>
        <w:tc>
          <w:tcPr>
            <w:tcW w:w="1226" w:type="dxa"/>
            <w:noWrap/>
            <w:vAlign w:val="bottom"/>
          </w:tcPr>
          <w:p w14:paraId="0FC132FE"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3.05</w:t>
            </w:r>
          </w:p>
        </w:tc>
        <w:tc>
          <w:tcPr>
            <w:tcW w:w="1226" w:type="dxa"/>
            <w:noWrap/>
            <w:vAlign w:val="bottom"/>
          </w:tcPr>
          <w:p w14:paraId="01CDF2C6"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3.78</w:t>
            </w:r>
          </w:p>
        </w:tc>
      </w:tr>
      <w:tr w:rsidR="00E94700" w:rsidRPr="00D674B2" w14:paraId="442F7649" w14:textId="77777777" w:rsidTr="006A4A50">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5104" w:type="dxa"/>
            <w:noWrap/>
          </w:tcPr>
          <w:p w14:paraId="47B8AF4D" w14:textId="77777777"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18: Arts, entertainment and recreation (R)</w:t>
            </w:r>
          </w:p>
        </w:tc>
        <w:tc>
          <w:tcPr>
            <w:tcW w:w="1276" w:type="dxa"/>
            <w:noWrap/>
            <w:vAlign w:val="bottom"/>
          </w:tcPr>
          <w:p w14:paraId="1329F4F1"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250</w:t>
            </w:r>
          </w:p>
        </w:tc>
        <w:tc>
          <w:tcPr>
            <w:tcW w:w="1225" w:type="dxa"/>
            <w:noWrap/>
            <w:vAlign w:val="bottom"/>
          </w:tcPr>
          <w:p w14:paraId="4BA67E78"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3.02</w:t>
            </w:r>
          </w:p>
        </w:tc>
        <w:tc>
          <w:tcPr>
            <w:tcW w:w="1226" w:type="dxa"/>
            <w:noWrap/>
            <w:vAlign w:val="bottom"/>
          </w:tcPr>
          <w:p w14:paraId="4D4E8EEB"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2.15</w:t>
            </w:r>
          </w:p>
        </w:tc>
        <w:tc>
          <w:tcPr>
            <w:tcW w:w="1226" w:type="dxa"/>
            <w:noWrap/>
            <w:vAlign w:val="bottom"/>
          </w:tcPr>
          <w:p w14:paraId="59CDB898" w14:textId="77777777" w:rsidR="00E94700" w:rsidRPr="009D07DB" w:rsidRDefault="00E94700" w:rsidP="006A4A50">
            <w:pPr>
              <w:jc w:val="center"/>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2.51</w:t>
            </w:r>
          </w:p>
        </w:tc>
      </w:tr>
      <w:tr w:rsidR="00E94700" w:rsidRPr="00D674B2" w14:paraId="759D44FE" w14:textId="77777777" w:rsidTr="006A4A50">
        <w:trPr>
          <w:trHeight w:val="227"/>
        </w:trPr>
        <w:tc>
          <w:tcPr>
            <w:cnfStyle w:val="001000000000" w:firstRow="0" w:lastRow="0" w:firstColumn="1" w:lastColumn="0" w:oddVBand="0" w:evenVBand="0" w:oddHBand="0" w:evenHBand="0" w:firstRowFirstColumn="0" w:firstRowLastColumn="0" w:lastRowFirstColumn="0" w:lastRowLastColumn="0"/>
            <w:tcW w:w="5104" w:type="dxa"/>
            <w:noWrap/>
          </w:tcPr>
          <w:p w14:paraId="6BD9AAE7" w14:textId="544DBE09" w:rsidR="00E94700" w:rsidRPr="00DD7674" w:rsidRDefault="00E94700" w:rsidP="006A4A50">
            <w:pPr>
              <w:rPr>
                <w:rFonts w:eastAsia="Times New Roman" w:cs="Calibri"/>
                <w:color w:val="000000"/>
                <w:sz w:val="16"/>
                <w:szCs w:val="16"/>
                <w:lang w:eastAsia="en-GB"/>
              </w:rPr>
            </w:pPr>
            <w:r w:rsidRPr="00DD7674">
              <w:rPr>
                <w:rFonts w:eastAsia="Times New Roman" w:cs="Calibri"/>
                <w:color w:val="000000"/>
                <w:sz w:val="16"/>
                <w:szCs w:val="16"/>
                <w:lang w:eastAsia="en-GB"/>
              </w:rPr>
              <w:t>19:</w:t>
            </w:r>
            <w:r w:rsidR="00DD7674">
              <w:rPr>
                <w:rFonts w:eastAsia="Times New Roman" w:cs="Calibri"/>
                <w:color w:val="000000"/>
                <w:sz w:val="16"/>
                <w:szCs w:val="16"/>
                <w:lang w:eastAsia="en-GB"/>
              </w:rPr>
              <w:t xml:space="preserve"> </w:t>
            </w:r>
            <w:r w:rsidRPr="00DD7674">
              <w:rPr>
                <w:rFonts w:eastAsia="Times New Roman" w:cs="Calibri"/>
                <w:color w:val="000000"/>
                <w:sz w:val="16"/>
                <w:szCs w:val="16"/>
                <w:lang w:eastAsia="en-GB"/>
              </w:rPr>
              <w:t>Other service activities (S)</w:t>
            </w:r>
          </w:p>
        </w:tc>
        <w:tc>
          <w:tcPr>
            <w:tcW w:w="1276" w:type="dxa"/>
            <w:noWrap/>
            <w:vAlign w:val="bottom"/>
          </w:tcPr>
          <w:p w14:paraId="187E5EB3"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20"/>
                <w:szCs w:val="20"/>
                <w:lang w:eastAsia="en-GB"/>
              </w:rPr>
            </w:pPr>
            <w:r w:rsidRPr="009D07DB">
              <w:rPr>
                <w:rFonts w:cs="Arial"/>
                <w:sz w:val="20"/>
                <w:szCs w:val="20"/>
              </w:rPr>
              <w:t>265</w:t>
            </w:r>
          </w:p>
        </w:tc>
        <w:tc>
          <w:tcPr>
            <w:tcW w:w="1225" w:type="dxa"/>
            <w:noWrap/>
            <w:vAlign w:val="bottom"/>
          </w:tcPr>
          <w:p w14:paraId="4303B964"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themeColor="text1"/>
                <w:sz w:val="20"/>
                <w:szCs w:val="20"/>
                <w:lang w:eastAsia="en-GB"/>
              </w:rPr>
            </w:pPr>
            <w:r w:rsidRPr="009D07DB">
              <w:rPr>
                <w:rFonts w:cs="Calibri"/>
                <w:i/>
                <w:iCs/>
                <w:color w:val="000000"/>
                <w:sz w:val="20"/>
                <w:szCs w:val="20"/>
              </w:rPr>
              <w:t>3.20</w:t>
            </w:r>
          </w:p>
        </w:tc>
        <w:tc>
          <w:tcPr>
            <w:tcW w:w="1226" w:type="dxa"/>
            <w:noWrap/>
            <w:vAlign w:val="bottom"/>
          </w:tcPr>
          <w:p w14:paraId="00EC0C4C"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3.59</w:t>
            </w:r>
          </w:p>
        </w:tc>
        <w:tc>
          <w:tcPr>
            <w:tcW w:w="1226" w:type="dxa"/>
            <w:noWrap/>
            <w:vAlign w:val="bottom"/>
          </w:tcPr>
          <w:p w14:paraId="7AA0605A" w14:textId="77777777" w:rsidR="00E94700" w:rsidRPr="009D07DB" w:rsidRDefault="00E94700" w:rsidP="006A4A50">
            <w:pPr>
              <w:jc w:val="center"/>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20"/>
                <w:szCs w:val="20"/>
                <w:lang w:eastAsia="en-GB"/>
              </w:rPr>
            </w:pPr>
            <w:r w:rsidRPr="009D07DB">
              <w:rPr>
                <w:rFonts w:cs="Calibri"/>
                <w:i/>
                <w:iCs/>
                <w:color w:val="000000"/>
                <w:sz w:val="20"/>
                <w:szCs w:val="20"/>
              </w:rPr>
              <w:t>3.82</w:t>
            </w:r>
          </w:p>
        </w:tc>
      </w:tr>
    </w:tbl>
    <w:p w14:paraId="57ABC043" w14:textId="77777777" w:rsidR="000223A1" w:rsidRDefault="000223A1" w:rsidP="000223A1">
      <w:pPr>
        <w:pStyle w:val="ListParagraph"/>
        <w:ind w:left="1080" w:firstLine="0"/>
        <w:jc w:val="left"/>
        <w:rPr>
          <w:sz w:val="22"/>
          <w:szCs w:val="22"/>
        </w:rPr>
      </w:pPr>
    </w:p>
    <w:p w14:paraId="6CBB4EC0" w14:textId="5778D934" w:rsidR="000223A1" w:rsidRPr="00F8060C" w:rsidRDefault="00AE1B36" w:rsidP="00F8060C">
      <w:pPr>
        <w:pStyle w:val="ListParagraph"/>
        <w:numPr>
          <w:ilvl w:val="3"/>
          <w:numId w:val="20"/>
        </w:numPr>
        <w:ind w:left="709" w:right="421" w:hanging="709"/>
        <w:contextualSpacing w:val="0"/>
        <w:jc w:val="left"/>
        <w:rPr>
          <w:sz w:val="22"/>
          <w:szCs w:val="22"/>
        </w:rPr>
      </w:pPr>
      <w:r w:rsidRPr="000223A1">
        <w:rPr>
          <w:sz w:val="22"/>
          <w:szCs w:val="22"/>
        </w:rPr>
        <w:t>In 202</w:t>
      </w:r>
      <w:r w:rsidR="00475BC7" w:rsidRPr="000223A1">
        <w:rPr>
          <w:sz w:val="22"/>
          <w:szCs w:val="22"/>
        </w:rPr>
        <w:t>1</w:t>
      </w:r>
      <w:r w:rsidRPr="000223A1">
        <w:rPr>
          <w:sz w:val="22"/>
          <w:szCs w:val="22"/>
        </w:rPr>
        <w:t>, t</w:t>
      </w:r>
      <w:r w:rsidR="003D7051" w:rsidRPr="000223A1">
        <w:rPr>
          <w:sz w:val="22"/>
          <w:szCs w:val="22"/>
        </w:rPr>
        <w:t>he largest number of businesses</w:t>
      </w:r>
      <w:r w:rsidR="00D677C9" w:rsidRPr="000223A1">
        <w:rPr>
          <w:sz w:val="22"/>
          <w:szCs w:val="22"/>
        </w:rPr>
        <w:t xml:space="preserve"> in the </w:t>
      </w:r>
      <w:r w:rsidR="001D61F1" w:rsidRPr="000223A1">
        <w:rPr>
          <w:sz w:val="22"/>
          <w:szCs w:val="22"/>
        </w:rPr>
        <w:t>District</w:t>
      </w:r>
      <w:r w:rsidR="003D7051" w:rsidRPr="000223A1">
        <w:rPr>
          <w:sz w:val="22"/>
          <w:szCs w:val="22"/>
        </w:rPr>
        <w:t xml:space="preserve"> were within the professional, scientific and techni</w:t>
      </w:r>
      <w:r w:rsidRPr="000223A1">
        <w:rPr>
          <w:sz w:val="22"/>
          <w:szCs w:val="22"/>
        </w:rPr>
        <w:t>cal services industry, at 1,7</w:t>
      </w:r>
      <w:r w:rsidR="00475BC7" w:rsidRPr="000223A1">
        <w:rPr>
          <w:sz w:val="22"/>
          <w:szCs w:val="22"/>
        </w:rPr>
        <w:t>10</w:t>
      </w:r>
      <w:r w:rsidRPr="000223A1">
        <w:rPr>
          <w:sz w:val="22"/>
          <w:szCs w:val="22"/>
        </w:rPr>
        <w:t>.</w:t>
      </w:r>
      <w:r w:rsidR="003D7051" w:rsidRPr="000223A1">
        <w:rPr>
          <w:sz w:val="22"/>
          <w:szCs w:val="22"/>
        </w:rPr>
        <w:t xml:space="preserve"> This industry accounted for just over 20% of all businesses, a similar proportion to Warwickshire and slightly </w:t>
      </w:r>
      <w:r w:rsidR="00C568AC" w:rsidRPr="000223A1">
        <w:rPr>
          <w:sz w:val="22"/>
          <w:szCs w:val="22"/>
        </w:rPr>
        <w:t>higher than the England average.</w:t>
      </w:r>
    </w:p>
    <w:p w14:paraId="24B7B067" w14:textId="2FD674C5" w:rsidR="006A55FF" w:rsidRPr="00F8060C" w:rsidRDefault="00475BC7" w:rsidP="00F8060C">
      <w:pPr>
        <w:pStyle w:val="ListParagraph"/>
        <w:numPr>
          <w:ilvl w:val="3"/>
          <w:numId w:val="20"/>
        </w:numPr>
        <w:ind w:left="709" w:right="421" w:hanging="709"/>
        <w:contextualSpacing w:val="0"/>
        <w:jc w:val="left"/>
        <w:rPr>
          <w:sz w:val="22"/>
          <w:szCs w:val="22"/>
        </w:rPr>
      </w:pPr>
      <w:r w:rsidRPr="000223A1">
        <w:rPr>
          <w:sz w:val="22"/>
          <w:szCs w:val="22"/>
        </w:rPr>
        <w:t>Wholesale, retail and motor vehicle</w:t>
      </w:r>
      <w:r w:rsidR="00FE0214" w:rsidRPr="000223A1">
        <w:rPr>
          <w:sz w:val="22"/>
          <w:szCs w:val="22"/>
        </w:rPr>
        <w:t xml:space="preserve"> repair accounted for 12.4%, similar to </w:t>
      </w:r>
      <w:r w:rsidR="00BE3B13" w:rsidRPr="000223A1">
        <w:rPr>
          <w:sz w:val="22"/>
          <w:szCs w:val="22"/>
        </w:rPr>
        <w:t>the county</w:t>
      </w:r>
      <w:r w:rsidR="00FE0214" w:rsidRPr="000223A1">
        <w:rPr>
          <w:sz w:val="22"/>
          <w:szCs w:val="22"/>
        </w:rPr>
        <w:t xml:space="preserve"> and slightly lower than the </w:t>
      </w:r>
      <w:r w:rsidR="00BE3B13" w:rsidRPr="000223A1">
        <w:rPr>
          <w:sz w:val="22"/>
          <w:szCs w:val="22"/>
        </w:rPr>
        <w:t>national</w:t>
      </w:r>
      <w:r w:rsidR="00FE0214" w:rsidRPr="000223A1">
        <w:rPr>
          <w:sz w:val="22"/>
          <w:szCs w:val="22"/>
        </w:rPr>
        <w:t xml:space="preserve"> average</w:t>
      </w:r>
      <w:r w:rsidR="00BE3B13" w:rsidRPr="000223A1">
        <w:rPr>
          <w:sz w:val="22"/>
          <w:szCs w:val="22"/>
        </w:rPr>
        <w:t xml:space="preserve"> (14.78%)</w:t>
      </w:r>
      <w:r w:rsidR="00FE0214" w:rsidRPr="000223A1">
        <w:rPr>
          <w:sz w:val="22"/>
          <w:szCs w:val="22"/>
        </w:rPr>
        <w:t xml:space="preserve">. </w:t>
      </w:r>
    </w:p>
    <w:p w14:paraId="37123B15" w14:textId="0C407943" w:rsidR="000223A1" w:rsidRPr="00F8060C" w:rsidRDefault="00AE1B36" w:rsidP="00F8060C">
      <w:pPr>
        <w:pStyle w:val="ListParagraph"/>
        <w:numPr>
          <w:ilvl w:val="3"/>
          <w:numId w:val="20"/>
        </w:numPr>
        <w:ind w:left="709" w:right="421" w:hanging="709"/>
        <w:contextualSpacing w:val="0"/>
        <w:jc w:val="left"/>
        <w:rPr>
          <w:sz w:val="22"/>
          <w:szCs w:val="22"/>
        </w:rPr>
      </w:pPr>
      <w:r w:rsidRPr="000223A1">
        <w:rPr>
          <w:sz w:val="22"/>
          <w:szCs w:val="22"/>
        </w:rPr>
        <w:t>Construction accounted for 1</w:t>
      </w:r>
      <w:r w:rsidR="00FE0214" w:rsidRPr="000223A1">
        <w:rPr>
          <w:sz w:val="22"/>
          <w:szCs w:val="22"/>
        </w:rPr>
        <w:t>1.1</w:t>
      </w:r>
      <w:r w:rsidR="003D7051" w:rsidRPr="000223A1">
        <w:rPr>
          <w:sz w:val="22"/>
          <w:szCs w:val="22"/>
        </w:rPr>
        <w:t xml:space="preserve">% of all businesses, similar to the county and </w:t>
      </w:r>
      <w:r w:rsidRPr="000223A1">
        <w:rPr>
          <w:sz w:val="22"/>
          <w:szCs w:val="22"/>
        </w:rPr>
        <w:t xml:space="preserve">just under the </w:t>
      </w:r>
      <w:r w:rsidR="003D7051" w:rsidRPr="000223A1">
        <w:rPr>
          <w:sz w:val="22"/>
          <w:szCs w:val="22"/>
        </w:rPr>
        <w:t>national average</w:t>
      </w:r>
      <w:r w:rsidRPr="000223A1">
        <w:rPr>
          <w:sz w:val="22"/>
          <w:szCs w:val="22"/>
        </w:rPr>
        <w:t xml:space="preserve"> (1</w:t>
      </w:r>
      <w:r w:rsidR="00BE3B13" w:rsidRPr="000223A1">
        <w:rPr>
          <w:sz w:val="22"/>
          <w:szCs w:val="22"/>
        </w:rPr>
        <w:t>3.05</w:t>
      </w:r>
      <w:r w:rsidRPr="000223A1">
        <w:rPr>
          <w:sz w:val="22"/>
          <w:szCs w:val="22"/>
        </w:rPr>
        <w:t>%)</w:t>
      </w:r>
      <w:r w:rsidR="003D7051" w:rsidRPr="000223A1">
        <w:rPr>
          <w:sz w:val="22"/>
          <w:szCs w:val="22"/>
        </w:rPr>
        <w:t xml:space="preserve">. </w:t>
      </w:r>
    </w:p>
    <w:p w14:paraId="19115AC9" w14:textId="509A3739" w:rsidR="006A55FF" w:rsidRPr="00F8060C" w:rsidRDefault="003D7051" w:rsidP="00F8060C">
      <w:pPr>
        <w:pStyle w:val="ListParagraph"/>
        <w:numPr>
          <w:ilvl w:val="3"/>
          <w:numId w:val="20"/>
        </w:numPr>
        <w:ind w:left="709" w:right="421" w:hanging="709"/>
        <w:contextualSpacing w:val="0"/>
        <w:jc w:val="left"/>
        <w:rPr>
          <w:sz w:val="22"/>
          <w:szCs w:val="22"/>
        </w:rPr>
      </w:pPr>
      <w:r w:rsidRPr="000223A1">
        <w:rPr>
          <w:sz w:val="22"/>
          <w:szCs w:val="22"/>
        </w:rPr>
        <w:t xml:space="preserve">Agriculture, forestry and fishing accounted for </w:t>
      </w:r>
      <w:r w:rsidR="00BE3B13" w:rsidRPr="000223A1">
        <w:rPr>
          <w:sz w:val="22"/>
          <w:szCs w:val="22"/>
        </w:rPr>
        <w:t>8.93</w:t>
      </w:r>
      <w:r w:rsidRPr="000223A1">
        <w:rPr>
          <w:sz w:val="22"/>
          <w:szCs w:val="22"/>
        </w:rPr>
        <w:t xml:space="preserve">%, a higher proportion than either </w:t>
      </w:r>
      <w:r w:rsidR="00BE3B13" w:rsidRPr="000223A1">
        <w:rPr>
          <w:sz w:val="22"/>
          <w:szCs w:val="22"/>
        </w:rPr>
        <w:t xml:space="preserve">the </w:t>
      </w:r>
      <w:r w:rsidRPr="000223A1">
        <w:rPr>
          <w:sz w:val="22"/>
          <w:szCs w:val="22"/>
        </w:rPr>
        <w:t>Warw</w:t>
      </w:r>
      <w:r w:rsidR="00AE1B36" w:rsidRPr="000223A1">
        <w:rPr>
          <w:sz w:val="22"/>
          <w:szCs w:val="22"/>
        </w:rPr>
        <w:t xml:space="preserve">ickshire </w:t>
      </w:r>
      <w:r w:rsidR="00BE3B13" w:rsidRPr="000223A1">
        <w:rPr>
          <w:sz w:val="22"/>
          <w:szCs w:val="22"/>
        </w:rPr>
        <w:t xml:space="preserve">average </w:t>
      </w:r>
      <w:r w:rsidR="00AE1B36" w:rsidRPr="000223A1">
        <w:rPr>
          <w:sz w:val="22"/>
          <w:szCs w:val="22"/>
        </w:rPr>
        <w:t>(5.</w:t>
      </w:r>
      <w:r w:rsidR="00BE3B13" w:rsidRPr="000223A1">
        <w:rPr>
          <w:sz w:val="22"/>
          <w:szCs w:val="22"/>
        </w:rPr>
        <w:t>09</w:t>
      </w:r>
      <w:r w:rsidRPr="000223A1">
        <w:rPr>
          <w:sz w:val="22"/>
          <w:szCs w:val="22"/>
        </w:rPr>
        <w:t xml:space="preserve">%) or </w:t>
      </w:r>
      <w:r w:rsidR="00BE3B13" w:rsidRPr="000223A1">
        <w:rPr>
          <w:sz w:val="22"/>
          <w:szCs w:val="22"/>
        </w:rPr>
        <w:t>national average</w:t>
      </w:r>
      <w:r w:rsidRPr="000223A1">
        <w:rPr>
          <w:sz w:val="22"/>
          <w:szCs w:val="22"/>
        </w:rPr>
        <w:t xml:space="preserve"> (</w:t>
      </w:r>
      <w:r w:rsidR="00BE3B13" w:rsidRPr="000223A1">
        <w:rPr>
          <w:sz w:val="22"/>
          <w:szCs w:val="22"/>
        </w:rPr>
        <w:t>3.82</w:t>
      </w:r>
      <w:r w:rsidRPr="000223A1">
        <w:rPr>
          <w:sz w:val="22"/>
          <w:szCs w:val="22"/>
        </w:rPr>
        <w:t>%).</w:t>
      </w:r>
    </w:p>
    <w:p w14:paraId="1E33B635" w14:textId="783320EA" w:rsidR="00C568AC" w:rsidRPr="00F8060C" w:rsidRDefault="00557BE9" w:rsidP="00F8060C">
      <w:pPr>
        <w:pStyle w:val="ListParagraph"/>
        <w:numPr>
          <w:ilvl w:val="0"/>
          <w:numId w:val="20"/>
        </w:numPr>
        <w:ind w:left="709" w:hanging="709"/>
        <w:contextualSpacing w:val="0"/>
        <w:jc w:val="left"/>
        <w:rPr>
          <w:sz w:val="22"/>
          <w:szCs w:val="22"/>
        </w:rPr>
      </w:pPr>
      <w:r w:rsidRPr="00FC0099">
        <w:rPr>
          <w:rFonts w:cs="Arial"/>
          <w:b/>
          <w:sz w:val="22"/>
          <w:szCs w:val="22"/>
          <w:lang w:val="en-US"/>
        </w:rPr>
        <w:t>Health</w:t>
      </w:r>
      <w:r w:rsidR="002D5933" w:rsidRPr="00FC0099">
        <w:rPr>
          <w:rFonts w:cs="Arial"/>
          <w:b/>
          <w:sz w:val="22"/>
          <w:szCs w:val="22"/>
          <w:lang w:val="en-US"/>
        </w:rPr>
        <w:t xml:space="preserve"> </w:t>
      </w:r>
    </w:p>
    <w:p w14:paraId="40E1C188" w14:textId="6EBCD476" w:rsidR="00C568AC" w:rsidRPr="00E55171" w:rsidRDefault="002D5933" w:rsidP="00F8060C">
      <w:pPr>
        <w:pStyle w:val="ListParagraph"/>
        <w:numPr>
          <w:ilvl w:val="1"/>
          <w:numId w:val="20"/>
        </w:numPr>
        <w:contextualSpacing w:val="0"/>
        <w:jc w:val="left"/>
        <w:rPr>
          <w:i/>
          <w:iCs/>
          <w:sz w:val="22"/>
          <w:szCs w:val="22"/>
        </w:rPr>
      </w:pPr>
      <w:r w:rsidRPr="00E55171">
        <w:rPr>
          <w:rFonts w:cs="Arial"/>
          <w:b/>
          <w:i/>
          <w:iCs/>
          <w:sz w:val="22"/>
          <w:szCs w:val="22"/>
          <w:lang w:val="en-US"/>
        </w:rPr>
        <w:t>Overview</w:t>
      </w:r>
    </w:p>
    <w:p w14:paraId="105CF3A9" w14:textId="39838F34" w:rsidR="00E94700" w:rsidRPr="00F8060C" w:rsidRDefault="002D5933" w:rsidP="00F8060C">
      <w:pPr>
        <w:ind w:right="421" w:firstLine="0"/>
        <w:jc w:val="left"/>
        <w:rPr>
          <w:sz w:val="22"/>
          <w:szCs w:val="22"/>
        </w:rPr>
      </w:pPr>
      <w:r w:rsidRPr="00FC0099">
        <w:rPr>
          <w:sz w:val="22"/>
          <w:szCs w:val="22"/>
        </w:rPr>
        <w:t xml:space="preserve">People in Stratford-on-Avon </w:t>
      </w:r>
      <w:r w:rsidR="001D61F1" w:rsidRPr="00FC0099">
        <w:rPr>
          <w:sz w:val="22"/>
          <w:szCs w:val="22"/>
        </w:rPr>
        <w:t>District</w:t>
      </w:r>
      <w:r w:rsidRPr="00FC0099">
        <w:rPr>
          <w:sz w:val="22"/>
          <w:szCs w:val="22"/>
        </w:rPr>
        <w:t xml:space="preserve"> are generally in better health compared to </w:t>
      </w:r>
      <w:r w:rsidRPr="0069210F">
        <w:rPr>
          <w:sz w:val="22"/>
          <w:szCs w:val="22"/>
        </w:rPr>
        <w:t>the England average</w:t>
      </w:r>
      <w:r w:rsidR="005F7170" w:rsidRPr="0069210F">
        <w:rPr>
          <w:sz w:val="22"/>
          <w:szCs w:val="22"/>
        </w:rPr>
        <w:t xml:space="preserve"> </w:t>
      </w:r>
      <w:r w:rsidR="004F256A" w:rsidRPr="0069210F">
        <w:rPr>
          <w:sz w:val="22"/>
          <w:szCs w:val="22"/>
        </w:rPr>
        <w:t>l</w:t>
      </w:r>
      <w:r w:rsidR="005F7170" w:rsidRPr="0069210F">
        <w:rPr>
          <w:sz w:val="22"/>
          <w:szCs w:val="22"/>
        </w:rPr>
        <w:t>ife expectancy in 2019 is 85.</w:t>
      </w:r>
      <w:r w:rsidR="00E96485" w:rsidRPr="0069210F">
        <w:rPr>
          <w:sz w:val="22"/>
          <w:szCs w:val="22"/>
        </w:rPr>
        <w:t>0</w:t>
      </w:r>
      <w:r w:rsidR="005F7170" w:rsidRPr="00FC0099">
        <w:rPr>
          <w:sz w:val="22"/>
          <w:szCs w:val="22"/>
        </w:rPr>
        <w:t xml:space="preserve"> years for </w:t>
      </w:r>
      <w:r w:rsidR="005F7170" w:rsidRPr="00FC0099">
        <w:rPr>
          <w:sz w:val="22"/>
          <w:szCs w:val="22"/>
        </w:rPr>
        <w:lastRenderedPageBreak/>
        <w:t>women (England</w:t>
      </w:r>
      <w:r w:rsidR="004F256A" w:rsidRPr="00FC0099">
        <w:rPr>
          <w:sz w:val="22"/>
          <w:szCs w:val="22"/>
        </w:rPr>
        <w:t xml:space="preserve"> = </w:t>
      </w:r>
      <w:r w:rsidR="00114425" w:rsidRPr="00FC0099">
        <w:rPr>
          <w:sz w:val="22"/>
          <w:szCs w:val="22"/>
        </w:rPr>
        <w:t>8</w:t>
      </w:r>
      <w:r w:rsidR="00336EAF" w:rsidRPr="00FC0099">
        <w:rPr>
          <w:sz w:val="22"/>
          <w:szCs w:val="22"/>
        </w:rPr>
        <w:t>3.1</w:t>
      </w:r>
      <w:r w:rsidR="005F7170" w:rsidRPr="00FC0099">
        <w:rPr>
          <w:sz w:val="22"/>
          <w:szCs w:val="22"/>
        </w:rPr>
        <w:t>) and for men 81.</w:t>
      </w:r>
      <w:r w:rsidR="00114425" w:rsidRPr="00FC0099">
        <w:rPr>
          <w:sz w:val="22"/>
          <w:szCs w:val="22"/>
        </w:rPr>
        <w:t xml:space="preserve">4 </w:t>
      </w:r>
      <w:r w:rsidR="005F7170" w:rsidRPr="00FC0099">
        <w:rPr>
          <w:sz w:val="22"/>
          <w:szCs w:val="22"/>
        </w:rPr>
        <w:t>years (England</w:t>
      </w:r>
      <w:r w:rsidR="004F256A" w:rsidRPr="00FC0099">
        <w:rPr>
          <w:sz w:val="22"/>
          <w:szCs w:val="22"/>
        </w:rPr>
        <w:t xml:space="preserve"> = </w:t>
      </w:r>
      <w:r w:rsidR="005F7170" w:rsidRPr="00FC0099">
        <w:rPr>
          <w:sz w:val="22"/>
          <w:szCs w:val="22"/>
        </w:rPr>
        <w:t>79.</w:t>
      </w:r>
      <w:r w:rsidR="00E96485" w:rsidRPr="00FC0099">
        <w:rPr>
          <w:sz w:val="22"/>
          <w:szCs w:val="22"/>
        </w:rPr>
        <w:t>4</w:t>
      </w:r>
      <w:r w:rsidR="005F7170" w:rsidRPr="00FC0099">
        <w:rPr>
          <w:sz w:val="22"/>
          <w:szCs w:val="22"/>
        </w:rPr>
        <w:t xml:space="preserve">) </w:t>
      </w:r>
      <w:r w:rsidR="00FC0099">
        <w:rPr>
          <w:rStyle w:val="EndnoteReference"/>
          <w:sz w:val="22"/>
          <w:szCs w:val="22"/>
        </w:rPr>
        <w:endnoteReference w:id="34"/>
      </w:r>
      <w:r w:rsidR="0062320B">
        <w:rPr>
          <w:sz w:val="22"/>
          <w:szCs w:val="22"/>
        </w:rPr>
        <w:t xml:space="preserve">. </w:t>
      </w:r>
      <w:r w:rsidR="005F7170" w:rsidRPr="00FC0099">
        <w:rPr>
          <w:sz w:val="22"/>
          <w:szCs w:val="22"/>
        </w:rPr>
        <w:t>These figures are the highest in the West Midlands region.</w:t>
      </w:r>
    </w:p>
    <w:p w14:paraId="6DF1FA09" w14:textId="2C28C6F8" w:rsidR="001E178E" w:rsidRPr="00E55171" w:rsidRDefault="002D5933" w:rsidP="00F8060C">
      <w:pPr>
        <w:pStyle w:val="ListParagraph"/>
        <w:numPr>
          <w:ilvl w:val="1"/>
          <w:numId w:val="20"/>
        </w:numPr>
        <w:contextualSpacing w:val="0"/>
        <w:jc w:val="left"/>
        <w:rPr>
          <w:i/>
          <w:iCs/>
          <w:sz w:val="22"/>
          <w:szCs w:val="22"/>
        </w:rPr>
      </w:pPr>
      <w:r w:rsidRPr="00E55171">
        <w:rPr>
          <w:b/>
          <w:i/>
          <w:iCs/>
          <w:sz w:val="22"/>
          <w:szCs w:val="22"/>
        </w:rPr>
        <w:t>Disease, death and injury</w:t>
      </w:r>
    </w:p>
    <w:p w14:paraId="0A99B2AC" w14:textId="535E4B31" w:rsidR="000223A1" w:rsidRPr="00F8060C" w:rsidRDefault="007A33F3" w:rsidP="00F8060C">
      <w:pPr>
        <w:pStyle w:val="ListParagraph"/>
        <w:numPr>
          <w:ilvl w:val="3"/>
          <w:numId w:val="20"/>
        </w:numPr>
        <w:ind w:left="709" w:right="421" w:hanging="709"/>
        <w:contextualSpacing w:val="0"/>
        <w:jc w:val="left"/>
        <w:rPr>
          <w:sz w:val="22"/>
          <w:szCs w:val="22"/>
        </w:rPr>
      </w:pPr>
      <w:r w:rsidRPr="005E7A41">
        <w:rPr>
          <w:sz w:val="22"/>
          <w:szCs w:val="22"/>
        </w:rPr>
        <w:t xml:space="preserve">Mortality rates for cardiovascular disease and cancer are much lower in the </w:t>
      </w:r>
      <w:r w:rsidR="001D61F1" w:rsidRPr="005E7A41">
        <w:rPr>
          <w:sz w:val="22"/>
          <w:szCs w:val="22"/>
        </w:rPr>
        <w:t>District</w:t>
      </w:r>
      <w:r w:rsidRPr="005E7A41">
        <w:rPr>
          <w:sz w:val="22"/>
          <w:szCs w:val="22"/>
        </w:rPr>
        <w:t xml:space="preserve"> than the West Midlands or England average rates</w:t>
      </w:r>
      <w:r w:rsidR="00721E5D" w:rsidRPr="005E7A41">
        <w:rPr>
          <w:rStyle w:val="EndnoteReference"/>
          <w:sz w:val="22"/>
          <w:szCs w:val="22"/>
        </w:rPr>
        <w:endnoteReference w:id="35"/>
      </w:r>
      <w:r w:rsidRPr="005E7A41">
        <w:rPr>
          <w:sz w:val="22"/>
          <w:szCs w:val="22"/>
        </w:rPr>
        <w:t xml:space="preserve">. </w:t>
      </w:r>
    </w:p>
    <w:p w14:paraId="227CA387" w14:textId="037BB575" w:rsidR="000223A1" w:rsidRPr="00F8060C" w:rsidRDefault="005E5F7D" w:rsidP="00F8060C">
      <w:pPr>
        <w:pStyle w:val="ListParagraph"/>
        <w:numPr>
          <w:ilvl w:val="3"/>
          <w:numId w:val="20"/>
        </w:numPr>
        <w:ind w:left="709" w:right="421" w:hanging="709"/>
        <w:contextualSpacing w:val="0"/>
        <w:jc w:val="left"/>
        <w:rPr>
          <w:sz w:val="22"/>
          <w:szCs w:val="22"/>
        </w:rPr>
      </w:pPr>
      <w:r w:rsidRPr="000223A1">
        <w:rPr>
          <w:sz w:val="22"/>
          <w:szCs w:val="22"/>
        </w:rPr>
        <w:t xml:space="preserve">The rate </w:t>
      </w:r>
      <w:r w:rsidR="003B6A15" w:rsidRPr="000223A1">
        <w:rPr>
          <w:sz w:val="22"/>
          <w:szCs w:val="22"/>
        </w:rPr>
        <w:t>of d</w:t>
      </w:r>
      <w:r w:rsidR="007A33F3" w:rsidRPr="000223A1">
        <w:rPr>
          <w:sz w:val="22"/>
          <w:szCs w:val="22"/>
        </w:rPr>
        <w:t xml:space="preserve">ementia diagnosis </w:t>
      </w:r>
      <w:r w:rsidR="003B6A15" w:rsidRPr="000223A1">
        <w:rPr>
          <w:sz w:val="22"/>
          <w:szCs w:val="22"/>
        </w:rPr>
        <w:t xml:space="preserve">in August 2022 was </w:t>
      </w:r>
      <w:r w:rsidR="00612D2E" w:rsidRPr="000223A1">
        <w:rPr>
          <w:sz w:val="22"/>
          <w:szCs w:val="22"/>
        </w:rPr>
        <w:t xml:space="preserve">52.5%. This is the estimated percentage of people </w:t>
      </w:r>
      <w:r w:rsidR="008C5467" w:rsidRPr="000223A1">
        <w:rPr>
          <w:sz w:val="22"/>
          <w:szCs w:val="22"/>
        </w:rPr>
        <w:t xml:space="preserve">with </w:t>
      </w:r>
      <w:r w:rsidR="00612D2E" w:rsidRPr="000223A1">
        <w:rPr>
          <w:sz w:val="22"/>
          <w:szCs w:val="22"/>
        </w:rPr>
        <w:t xml:space="preserve">dementia </w:t>
      </w:r>
      <w:r w:rsidR="008C5467" w:rsidRPr="000223A1">
        <w:rPr>
          <w:sz w:val="22"/>
          <w:szCs w:val="22"/>
        </w:rPr>
        <w:t>who are</w:t>
      </w:r>
      <w:r w:rsidR="00B85C1D" w:rsidRPr="000223A1">
        <w:rPr>
          <w:sz w:val="22"/>
          <w:szCs w:val="22"/>
        </w:rPr>
        <w:t xml:space="preserve"> actually</w:t>
      </w:r>
      <w:r w:rsidR="008C5467" w:rsidRPr="000223A1">
        <w:rPr>
          <w:sz w:val="22"/>
          <w:szCs w:val="22"/>
        </w:rPr>
        <w:t xml:space="preserve"> diagnosed with it</w:t>
      </w:r>
      <w:r w:rsidR="009E36B2" w:rsidRPr="000223A1">
        <w:rPr>
          <w:sz w:val="22"/>
          <w:szCs w:val="22"/>
        </w:rPr>
        <w:t>: in other words,</w:t>
      </w:r>
      <w:r w:rsidR="001E3E5A" w:rsidRPr="000223A1">
        <w:rPr>
          <w:sz w:val="22"/>
          <w:szCs w:val="22"/>
        </w:rPr>
        <w:t xml:space="preserve"> 52.5% people with dementia in the district receive</w:t>
      </w:r>
      <w:r w:rsidR="009E36B2" w:rsidRPr="000223A1">
        <w:rPr>
          <w:sz w:val="22"/>
          <w:szCs w:val="22"/>
        </w:rPr>
        <w:t>d</w:t>
      </w:r>
      <w:r w:rsidR="001E3E5A" w:rsidRPr="000223A1">
        <w:rPr>
          <w:sz w:val="22"/>
          <w:szCs w:val="22"/>
        </w:rPr>
        <w:t xml:space="preserve"> a diagnosis, meaning that 47.5% people who have dementia are undiagnosed</w:t>
      </w:r>
      <w:r w:rsidR="009E36B2" w:rsidRPr="000223A1">
        <w:rPr>
          <w:sz w:val="22"/>
          <w:szCs w:val="22"/>
        </w:rPr>
        <w:t xml:space="preserve">. This is </w:t>
      </w:r>
      <w:r w:rsidR="00552BBB" w:rsidRPr="000223A1">
        <w:rPr>
          <w:sz w:val="22"/>
          <w:szCs w:val="22"/>
        </w:rPr>
        <w:t xml:space="preserve">just under </w:t>
      </w:r>
      <w:r w:rsidR="007A33F3" w:rsidRPr="000223A1">
        <w:rPr>
          <w:sz w:val="22"/>
          <w:szCs w:val="22"/>
        </w:rPr>
        <w:t>th</w:t>
      </w:r>
      <w:r w:rsidR="009E36B2" w:rsidRPr="000223A1">
        <w:rPr>
          <w:sz w:val="22"/>
          <w:szCs w:val="22"/>
        </w:rPr>
        <w:t>e</w:t>
      </w:r>
      <w:r w:rsidR="007A33F3" w:rsidRPr="000223A1">
        <w:rPr>
          <w:sz w:val="22"/>
          <w:szCs w:val="22"/>
        </w:rPr>
        <w:t xml:space="preserve"> </w:t>
      </w:r>
      <w:r w:rsidR="00552BBB" w:rsidRPr="000223A1">
        <w:rPr>
          <w:sz w:val="22"/>
          <w:szCs w:val="22"/>
        </w:rPr>
        <w:t>Warwickshire average</w:t>
      </w:r>
      <w:r w:rsidR="007A33F3" w:rsidRPr="000223A1">
        <w:rPr>
          <w:sz w:val="22"/>
          <w:szCs w:val="22"/>
        </w:rPr>
        <w:t xml:space="preserve"> rate</w:t>
      </w:r>
      <w:r w:rsidR="00552BBB" w:rsidRPr="000223A1">
        <w:rPr>
          <w:sz w:val="22"/>
          <w:szCs w:val="22"/>
        </w:rPr>
        <w:t xml:space="preserve"> of 54.6</w:t>
      </w:r>
      <w:r w:rsidRPr="000223A1">
        <w:rPr>
          <w:sz w:val="22"/>
          <w:szCs w:val="22"/>
        </w:rPr>
        <w:t xml:space="preserve">, and </w:t>
      </w:r>
      <w:r w:rsidR="00552BBB" w:rsidRPr="000223A1">
        <w:rPr>
          <w:sz w:val="22"/>
          <w:szCs w:val="22"/>
        </w:rPr>
        <w:t>significantly</w:t>
      </w:r>
      <w:r w:rsidRPr="000223A1">
        <w:rPr>
          <w:sz w:val="22"/>
          <w:szCs w:val="22"/>
        </w:rPr>
        <w:t xml:space="preserve"> lower than the English average</w:t>
      </w:r>
      <w:r w:rsidR="00552BBB" w:rsidRPr="000223A1">
        <w:rPr>
          <w:sz w:val="22"/>
          <w:szCs w:val="22"/>
        </w:rPr>
        <w:t xml:space="preserve"> of 62.1</w:t>
      </w:r>
      <w:r w:rsidR="00721E5D" w:rsidRPr="007C721B">
        <w:rPr>
          <w:rStyle w:val="EndnoteReference"/>
          <w:sz w:val="22"/>
          <w:szCs w:val="22"/>
        </w:rPr>
        <w:endnoteReference w:id="36"/>
      </w:r>
      <w:r w:rsidR="007A33F3" w:rsidRPr="000223A1">
        <w:rPr>
          <w:sz w:val="22"/>
          <w:szCs w:val="22"/>
        </w:rPr>
        <w:t>.</w:t>
      </w:r>
    </w:p>
    <w:p w14:paraId="2CDD8315" w14:textId="7E006116" w:rsidR="000223A1" w:rsidRPr="00F8060C" w:rsidRDefault="00D71CD7" w:rsidP="00F8060C">
      <w:pPr>
        <w:pStyle w:val="ListParagraph"/>
        <w:numPr>
          <w:ilvl w:val="3"/>
          <w:numId w:val="20"/>
        </w:numPr>
        <w:ind w:left="709" w:right="421" w:hanging="709"/>
        <w:contextualSpacing w:val="0"/>
        <w:jc w:val="left"/>
        <w:rPr>
          <w:sz w:val="22"/>
          <w:szCs w:val="22"/>
        </w:rPr>
      </w:pPr>
      <w:r w:rsidRPr="000223A1">
        <w:rPr>
          <w:sz w:val="22"/>
          <w:szCs w:val="22"/>
        </w:rPr>
        <w:t>In 2019, h</w:t>
      </w:r>
      <w:r w:rsidR="00721E5D" w:rsidRPr="000223A1">
        <w:rPr>
          <w:sz w:val="22"/>
          <w:szCs w:val="22"/>
        </w:rPr>
        <w:t xml:space="preserve">ospital admission rates for alcohol-related conditions </w:t>
      </w:r>
      <w:r w:rsidR="003C13EE" w:rsidRPr="000223A1">
        <w:rPr>
          <w:sz w:val="22"/>
          <w:szCs w:val="22"/>
        </w:rPr>
        <w:t xml:space="preserve">in the District </w:t>
      </w:r>
      <w:r w:rsidR="00721E5D" w:rsidRPr="000223A1">
        <w:rPr>
          <w:sz w:val="22"/>
          <w:szCs w:val="22"/>
        </w:rPr>
        <w:t xml:space="preserve">were </w:t>
      </w:r>
      <w:r w:rsidR="00893D8F" w:rsidRPr="000223A1">
        <w:rPr>
          <w:sz w:val="22"/>
          <w:szCs w:val="22"/>
        </w:rPr>
        <w:t>576.4</w:t>
      </w:r>
      <w:r w:rsidR="00721E5D" w:rsidRPr="000223A1">
        <w:rPr>
          <w:sz w:val="22"/>
          <w:szCs w:val="22"/>
        </w:rPr>
        <w:t xml:space="preserve"> per 100,000</w:t>
      </w:r>
      <w:r w:rsidR="00893D8F" w:rsidRPr="000223A1">
        <w:rPr>
          <w:sz w:val="22"/>
          <w:szCs w:val="22"/>
        </w:rPr>
        <w:t xml:space="preserve"> for women, which is</w:t>
      </w:r>
      <w:r w:rsidR="00721E5D" w:rsidRPr="000223A1">
        <w:rPr>
          <w:sz w:val="22"/>
          <w:szCs w:val="22"/>
        </w:rPr>
        <w:t xml:space="preserve"> higher than the Engl</w:t>
      </w:r>
      <w:r w:rsidR="00BB6B56" w:rsidRPr="000223A1">
        <w:rPr>
          <w:sz w:val="22"/>
          <w:szCs w:val="22"/>
        </w:rPr>
        <w:t>ish</w:t>
      </w:r>
      <w:r w:rsidR="00721E5D" w:rsidRPr="000223A1">
        <w:rPr>
          <w:sz w:val="22"/>
          <w:szCs w:val="22"/>
        </w:rPr>
        <w:t xml:space="preserve"> average of </w:t>
      </w:r>
      <w:r w:rsidR="005126E7" w:rsidRPr="000223A1">
        <w:rPr>
          <w:sz w:val="22"/>
          <w:szCs w:val="22"/>
        </w:rPr>
        <w:t>525.4</w:t>
      </w:r>
      <w:r w:rsidR="00721E5D" w:rsidRPr="000223A1">
        <w:rPr>
          <w:sz w:val="22"/>
          <w:szCs w:val="22"/>
        </w:rPr>
        <w:t xml:space="preserve"> per 100,000 </w:t>
      </w:r>
      <w:r w:rsidR="005126E7" w:rsidRPr="000223A1">
        <w:rPr>
          <w:sz w:val="22"/>
          <w:szCs w:val="22"/>
        </w:rPr>
        <w:t>and</w:t>
      </w:r>
      <w:r w:rsidR="00721E5D" w:rsidRPr="000223A1">
        <w:rPr>
          <w:sz w:val="22"/>
          <w:szCs w:val="22"/>
        </w:rPr>
        <w:t xml:space="preserve"> the Warwickshire rate of </w:t>
      </w:r>
      <w:r w:rsidR="005126E7" w:rsidRPr="000223A1">
        <w:rPr>
          <w:sz w:val="22"/>
          <w:szCs w:val="22"/>
        </w:rPr>
        <w:t>483.9</w:t>
      </w:r>
      <w:r w:rsidR="00721E5D" w:rsidRPr="000223A1">
        <w:rPr>
          <w:sz w:val="22"/>
          <w:szCs w:val="22"/>
        </w:rPr>
        <w:t xml:space="preserve"> per 100,000</w:t>
      </w:r>
      <w:r w:rsidR="00721E5D" w:rsidRPr="005E7A41">
        <w:rPr>
          <w:rStyle w:val="EndnoteReference"/>
          <w:sz w:val="22"/>
          <w:szCs w:val="22"/>
        </w:rPr>
        <w:endnoteReference w:id="37"/>
      </w:r>
      <w:r w:rsidR="00721E5D" w:rsidRPr="000223A1">
        <w:rPr>
          <w:sz w:val="22"/>
          <w:szCs w:val="22"/>
        </w:rPr>
        <w:t xml:space="preserve">. The rate for men was </w:t>
      </w:r>
      <w:r w:rsidR="00BF4D87" w:rsidRPr="000223A1">
        <w:rPr>
          <w:sz w:val="22"/>
          <w:szCs w:val="22"/>
        </w:rPr>
        <w:t>778.1</w:t>
      </w:r>
      <w:r w:rsidR="00721E5D" w:rsidRPr="000223A1">
        <w:rPr>
          <w:sz w:val="22"/>
          <w:szCs w:val="22"/>
        </w:rPr>
        <w:t xml:space="preserve"> per 100,000 </w:t>
      </w:r>
      <w:r w:rsidR="00BF4D87" w:rsidRPr="000223A1">
        <w:rPr>
          <w:sz w:val="22"/>
          <w:szCs w:val="22"/>
        </w:rPr>
        <w:t>which is lower than the English average of 837.3 and the Warwickshire rate of 797.6</w:t>
      </w:r>
      <w:r w:rsidR="00BB6B56" w:rsidRPr="000223A1">
        <w:rPr>
          <w:sz w:val="22"/>
          <w:szCs w:val="22"/>
        </w:rPr>
        <w:t>.</w:t>
      </w:r>
    </w:p>
    <w:p w14:paraId="0383C3FC" w14:textId="08368C2D" w:rsidR="002E1BCD" w:rsidRPr="00F8060C" w:rsidRDefault="00A556CA" w:rsidP="00F8060C">
      <w:pPr>
        <w:pStyle w:val="ListParagraph"/>
        <w:numPr>
          <w:ilvl w:val="3"/>
          <w:numId w:val="20"/>
        </w:numPr>
        <w:ind w:left="709" w:right="421" w:hanging="709"/>
        <w:contextualSpacing w:val="0"/>
        <w:jc w:val="left"/>
        <w:rPr>
          <w:sz w:val="22"/>
          <w:szCs w:val="22"/>
        </w:rPr>
      </w:pPr>
      <w:r w:rsidRPr="000223A1">
        <w:rPr>
          <w:sz w:val="22"/>
          <w:szCs w:val="22"/>
        </w:rPr>
        <w:t xml:space="preserve">Suicide rates were </w:t>
      </w:r>
      <w:r w:rsidR="005E7A41" w:rsidRPr="000223A1">
        <w:rPr>
          <w:sz w:val="22"/>
          <w:szCs w:val="22"/>
        </w:rPr>
        <w:t>lower</w:t>
      </w:r>
      <w:r w:rsidRPr="000223A1">
        <w:rPr>
          <w:sz w:val="22"/>
          <w:szCs w:val="22"/>
        </w:rPr>
        <w:t xml:space="preserve"> in the </w:t>
      </w:r>
      <w:r w:rsidR="001D61F1" w:rsidRPr="000223A1">
        <w:rPr>
          <w:sz w:val="22"/>
          <w:szCs w:val="22"/>
        </w:rPr>
        <w:t>District</w:t>
      </w:r>
      <w:r w:rsidRPr="000223A1">
        <w:rPr>
          <w:sz w:val="22"/>
          <w:szCs w:val="22"/>
        </w:rPr>
        <w:t xml:space="preserve"> than the county and England average. The rate for men was 1</w:t>
      </w:r>
      <w:r w:rsidR="005E7A41" w:rsidRPr="000223A1">
        <w:rPr>
          <w:sz w:val="22"/>
          <w:szCs w:val="22"/>
        </w:rPr>
        <w:t>4</w:t>
      </w:r>
      <w:r w:rsidRPr="000223A1">
        <w:rPr>
          <w:sz w:val="22"/>
          <w:szCs w:val="22"/>
        </w:rPr>
        <w:t xml:space="preserve"> per 100,000, compared to 1</w:t>
      </w:r>
      <w:r w:rsidR="005E7A41" w:rsidRPr="000223A1">
        <w:rPr>
          <w:sz w:val="22"/>
          <w:szCs w:val="22"/>
        </w:rPr>
        <w:t>4.8</w:t>
      </w:r>
      <w:r w:rsidRPr="000223A1">
        <w:rPr>
          <w:sz w:val="22"/>
          <w:szCs w:val="22"/>
        </w:rPr>
        <w:t xml:space="preserve"> in Warwickshire and 1</w:t>
      </w:r>
      <w:r w:rsidR="005E7A41" w:rsidRPr="000223A1">
        <w:rPr>
          <w:sz w:val="22"/>
          <w:szCs w:val="22"/>
        </w:rPr>
        <w:t>5.9</w:t>
      </w:r>
      <w:r w:rsidRPr="000223A1">
        <w:rPr>
          <w:sz w:val="22"/>
          <w:szCs w:val="22"/>
        </w:rPr>
        <w:t xml:space="preserve"> in England.</w:t>
      </w:r>
    </w:p>
    <w:p w14:paraId="690AB534" w14:textId="0CB83CF7" w:rsidR="008A2284" w:rsidRPr="00F8060C" w:rsidRDefault="005E5460" w:rsidP="00F8060C">
      <w:pPr>
        <w:pStyle w:val="ListParagraph"/>
        <w:numPr>
          <w:ilvl w:val="0"/>
          <w:numId w:val="20"/>
        </w:numPr>
        <w:contextualSpacing w:val="0"/>
        <w:jc w:val="left"/>
        <w:rPr>
          <w:b/>
          <w:sz w:val="22"/>
          <w:szCs w:val="22"/>
        </w:rPr>
      </w:pPr>
      <w:r w:rsidRPr="000C2EB7">
        <w:rPr>
          <w:b/>
          <w:color w:val="FF0000"/>
          <w:sz w:val="22"/>
          <w:szCs w:val="22"/>
        </w:rPr>
        <w:t xml:space="preserve">   </w:t>
      </w:r>
      <w:r w:rsidR="00F1696B" w:rsidRPr="000C2EB7">
        <w:rPr>
          <w:b/>
          <w:color w:val="FF0000"/>
          <w:sz w:val="22"/>
          <w:szCs w:val="22"/>
        </w:rPr>
        <w:t xml:space="preserve"> </w:t>
      </w:r>
      <w:r w:rsidR="00547313" w:rsidRPr="000C2EB7">
        <w:rPr>
          <w:b/>
          <w:color w:val="FF0000"/>
          <w:sz w:val="22"/>
          <w:szCs w:val="22"/>
        </w:rPr>
        <w:t xml:space="preserve"> </w:t>
      </w:r>
      <w:r w:rsidR="00D47901" w:rsidRPr="0030286B">
        <w:rPr>
          <w:b/>
          <w:sz w:val="22"/>
          <w:szCs w:val="22"/>
        </w:rPr>
        <w:t>Poverty</w:t>
      </w:r>
    </w:p>
    <w:p w14:paraId="420E0B42" w14:textId="64B854C3" w:rsidR="00D35418" w:rsidRPr="008A2284" w:rsidRDefault="00D35418" w:rsidP="00F8060C">
      <w:pPr>
        <w:pStyle w:val="ListParagraph"/>
        <w:numPr>
          <w:ilvl w:val="1"/>
          <w:numId w:val="20"/>
        </w:numPr>
        <w:ind w:right="421"/>
        <w:contextualSpacing w:val="0"/>
        <w:jc w:val="left"/>
        <w:rPr>
          <w:sz w:val="22"/>
          <w:szCs w:val="22"/>
        </w:rPr>
      </w:pPr>
      <w:r w:rsidRPr="008A2284">
        <w:rPr>
          <w:sz w:val="22"/>
          <w:szCs w:val="22"/>
        </w:rPr>
        <w:t xml:space="preserve">From the middle of 2021, UK utilities companies faced an historic rise in the wholesale cost of gas and power prices, and an inability to pass these costs on to the consumer due to the energy price caps imposed by Ofgem. This left many in an unsustainable position, and a number of companies went bankrupt as a result (e.g. Bulb Energy), with 25 bankruptcies by the end of December 2021. As a response to this crisis, the energy price cap was raised from £1,138 to £1,277 </w:t>
      </w:r>
      <w:r w:rsidR="00920E21" w:rsidRPr="008A2284">
        <w:rPr>
          <w:sz w:val="22"/>
          <w:szCs w:val="22"/>
        </w:rPr>
        <w:t xml:space="preserve">(for the average household bill) </w:t>
      </w:r>
      <w:r w:rsidRPr="008A2284">
        <w:rPr>
          <w:sz w:val="22"/>
          <w:szCs w:val="22"/>
        </w:rPr>
        <w:t xml:space="preserve">in October 2021. Since then, Ofgem have announced further rises, with the most recent taking the cap up to £3,549, as from October 2022. This new cap represents a rise of 212% on the price cap leading up </w:t>
      </w:r>
      <w:r w:rsidR="008A2284" w:rsidRPr="008A2284">
        <w:rPr>
          <w:sz w:val="22"/>
          <w:szCs w:val="22"/>
        </w:rPr>
        <w:t>to October</w:t>
      </w:r>
      <w:r w:rsidRPr="008A2284">
        <w:rPr>
          <w:sz w:val="22"/>
          <w:szCs w:val="22"/>
        </w:rPr>
        <w:t xml:space="preserve"> 2021.</w:t>
      </w:r>
    </w:p>
    <w:p w14:paraId="2FD2C403" w14:textId="2E3FDC72" w:rsidR="00D35418" w:rsidRPr="000223A1" w:rsidRDefault="00D35418" w:rsidP="00F8060C">
      <w:pPr>
        <w:ind w:right="421" w:hanging="11"/>
        <w:jc w:val="left"/>
        <w:rPr>
          <w:sz w:val="22"/>
          <w:szCs w:val="22"/>
        </w:rPr>
      </w:pPr>
      <w:r w:rsidRPr="000223A1">
        <w:rPr>
          <w:sz w:val="22"/>
          <w:szCs w:val="22"/>
        </w:rPr>
        <w:t>These rises have occu</w:t>
      </w:r>
      <w:r w:rsidR="00AC29A1">
        <w:rPr>
          <w:sz w:val="22"/>
          <w:szCs w:val="22"/>
        </w:rPr>
        <w:t>r</w:t>
      </w:r>
      <w:r w:rsidRPr="000223A1">
        <w:rPr>
          <w:sz w:val="22"/>
          <w:szCs w:val="22"/>
        </w:rPr>
        <w:t xml:space="preserve">red during a period of quickly rising inflation when UK households are already finding their cost of living squeezed by increasing food prices, petrol and diesel prices and prices for other consumer goods, as well as an announced rise in National Insurance, due to occur in April. Many UK households, therefore, are unsurprisingly very worried about the rising costs of heating and powering their homes. </w:t>
      </w:r>
    </w:p>
    <w:p w14:paraId="43B6632F" w14:textId="77777777" w:rsidR="00D35418" w:rsidRPr="000223A1" w:rsidRDefault="00D35418" w:rsidP="00F8060C">
      <w:pPr>
        <w:ind w:right="421" w:hanging="11"/>
        <w:jc w:val="left"/>
        <w:rPr>
          <w:sz w:val="22"/>
          <w:szCs w:val="22"/>
        </w:rPr>
      </w:pPr>
      <w:r w:rsidRPr="000223A1">
        <w:rPr>
          <w:sz w:val="22"/>
          <w:szCs w:val="22"/>
        </w:rPr>
        <w:t xml:space="preserve">The UK Government has announced a handful of measures to soften the blow: </w:t>
      </w:r>
    </w:p>
    <w:p w14:paraId="4707CF7A" w14:textId="77777777" w:rsidR="00D35418" w:rsidRPr="000223A1" w:rsidRDefault="00D35418" w:rsidP="004E3B0A">
      <w:pPr>
        <w:pStyle w:val="ListParagraph"/>
        <w:numPr>
          <w:ilvl w:val="0"/>
          <w:numId w:val="22"/>
        </w:numPr>
        <w:ind w:left="1418" w:right="421" w:hanging="709"/>
        <w:contextualSpacing w:val="0"/>
        <w:jc w:val="left"/>
        <w:rPr>
          <w:sz w:val="22"/>
          <w:szCs w:val="22"/>
        </w:rPr>
      </w:pPr>
      <w:r w:rsidRPr="000223A1">
        <w:rPr>
          <w:sz w:val="22"/>
          <w:szCs w:val="22"/>
        </w:rPr>
        <w:t>In April 2022, people in Council Tax bands A to D in England received a one-off £150 discount;</w:t>
      </w:r>
    </w:p>
    <w:p w14:paraId="11AF4727" w14:textId="77777777" w:rsidR="00D35418" w:rsidRPr="000223A1" w:rsidRDefault="00D35418" w:rsidP="004E3B0A">
      <w:pPr>
        <w:pStyle w:val="ListParagraph"/>
        <w:numPr>
          <w:ilvl w:val="0"/>
          <w:numId w:val="22"/>
        </w:numPr>
        <w:ind w:left="1418" w:right="421" w:hanging="709"/>
        <w:contextualSpacing w:val="0"/>
        <w:jc w:val="left"/>
        <w:rPr>
          <w:sz w:val="22"/>
          <w:szCs w:val="22"/>
        </w:rPr>
      </w:pPr>
      <w:r w:rsidRPr="000223A1">
        <w:rPr>
          <w:sz w:val="22"/>
          <w:szCs w:val="22"/>
        </w:rPr>
        <w:t>All households will receive a £400 discount on their energy bills, paid in six instalments between October 2022 and March 2023;</w:t>
      </w:r>
    </w:p>
    <w:p w14:paraId="0C494FC1" w14:textId="77777777" w:rsidR="00D35418" w:rsidRPr="000223A1" w:rsidRDefault="00D35418" w:rsidP="004E3B0A">
      <w:pPr>
        <w:pStyle w:val="ListParagraph"/>
        <w:numPr>
          <w:ilvl w:val="0"/>
          <w:numId w:val="22"/>
        </w:numPr>
        <w:ind w:left="1418" w:right="421" w:hanging="709"/>
        <w:contextualSpacing w:val="0"/>
        <w:jc w:val="left"/>
        <w:rPr>
          <w:sz w:val="22"/>
          <w:szCs w:val="22"/>
        </w:rPr>
      </w:pPr>
      <w:r w:rsidRPr="000223A1">
        <w:rPr>
          <w:sz w:val="22"/>
          <w:szCs w:val="22"/>
        </w:rPr>
        <w:t>Households on means tested benefits will receive a payment of £650, paid in two instalments;</w:t>
      </w:r>
    </w:p>
    <w:p w14:paraId="73855582" w14:textId="77777777" w:rsidR="00D35418" w:rsidRPr="000223A1" w:rsidRDefault="00D35418" w:rsidP="004E3B0A">
      <w:pPr>
        <w:pStyle w:val="ListParagraph"/>
        <w:numPr>
          <w:ilvl w:val="0"/>
          <w:numId w:val="22"/>
        </w:numPr>
        <w:ind w:left="1418" w:right="421" w:hanging="709"/>
        <w:contextualSpacing w:val="0"/>
        <w:jc w:val="left"/>
        <w:rPr>
          <w:sz w:val="22"/>
          <w:szCs w:val="22"/>
        </w:rPr>
      </w:pPr>
      <w:r w:rsidRPr="000223A1">
        <w:rPr>
          <w:sz w:val="22"/>
          <w:szCs w:val="22"/>
        </w:rPr>
        <w:lastRenderedPageBreak/>
        <w:t>Individuals on disability benefits will receive a one-off £150 payment to help with extra costs</w:t>
      </w:r>
    </w:p>
    <w:p w14:paraId="5D2E577B" w14:textId="77777777" w:rsidR="00D35418" w:rsidRPr="000223A1" w:rsidRDefault="00D35418" w:rsidP="004E3B0A">
      <w:pPr>
        <w:pStyle w:val="ListParagraph"/>
        <w:numPr>
          <w:ilvl w:val="0"/>
          <w:numId w:val="22"/>
        </w:numPr>
        <w:ind w:left="1418" w:right="421" w:hanging="709"/>
        <w:contextualSpacing w:val="0"/>
        <w:jc w:val="left"/>
        <w:rPr>
          <w:sz w:val="22"/>
          <w:szCs w:val="22"/>
        </w:rPr>
      </w:pPr>
      <w:r w:rsidRPr="000223A1">
        <w:rPr>
          <w:sz w:val="22"/>
          <w:szCs w:val="22"/>
        </w:rPr>
        <w:t>Pensioners will receive an extra one-off £300 cost of living payment; they are able to access between £100 and £300 to help pay heating bills;</w:t>
      </w:r>
    </w:p>
    <w:p w14:paraId="55DF023E" w14:textId="794E7E46" w:rsidR="00D35418" w:rsidRPr="000223A1" w:rsidRDefault="00D35418" w:rsidP="004E3B0A">
      <w:pPr>
        <w:pStyle w:val="ListParagraph"/>
        <w:numPr>
          <w:ilvl w:val="0"/>
          <w:numId w:val="22"/>
        </w:numPr>
        <w:ind w:left="1418" w:right="421" w:hanging="709"/>
        <w:contextualSpacing w:val="0"/>
        <w:jc w:val="left"/>
        <w:rPr>
          <w:sz w:val="22"/>
          <w:szCs w:val="22"/>
        </w:rPr>
      </w:pPr>
      <w:r w:rsidRPr="000223A1">
        <w:rPr>
          <w:sz w:val="22"/>
          <w:szCs w:val="22"/>
        </w:rPr>
        <w:t>the warm house discount scheme will be expanded to include 3m households,</w:t>
      </w:r>
      <w:r w:rsidR="007E5E7F">
        <w:rPr>
          <w:sz w:val="22"/>
          <w:szCs w:val="22"/>
        </w:rPr>
        <w:t xml:space="preserve"> </w:t>
      </w:r>
      <w:r w:rsidRPr="000223A1">
        <w:rPr>
          <w:sz w:val="22"/>
          <w:szCs w:val="22"/>
        </w:rPr>
        <w:t xml:space="preserve">offering a discount to </w:t>
      </w:r>
      <w:r w:rsidR="00BE4318" w:rsidRPr="000223A1">
        <w:rPr>
          <w:sz w:val="22"/>
          <w:szCs w:val="22"/>
        </w:rPr>
        <w:t>low-income</w:t>
      </w:r>
      <w:r w:rsidRPr="000223A1">
        <w:rPr>
          <w:sz w:val="22"/>
          <w:szCs w:val="22"/>
        </w:rPr>
        <w:t xml:space="preserve"> households on electricity bills of around £150; </w:t>
      </w:r>
    </w:p>
    <w:p w14:paraId="6765E853" w14:textId="77777777" w:rsidR="00D35418" w:rsidRPr="000223A1" w:rsidRDefault="00D35418" w:rsidP="004E3B0A">
      <w:pPr>
        <w:pStyle w:val="ListParagraph"/>
        <w:numPr>
          <w:ilvl w:val="0"/>
          <w:numId w:val="22"/>
        </w:numPr>
        <w:ind w:left="1418" w:right="421" w:hanging="709"/>
        <w:contextualSpacing w:val="0"/>
        <w:jc w:val="left"/>
        <w:rPr>
          <w:sz w:val="22"/>
          <w:szCs w:val="22"/>
        </w:rPr>
      </w:pPr>
      <w:r w:rsidRPr="000223A1">
        <w:rPr>
          <w:sz w:val="22"/>
          <w:szCs w:val="22"/>
        </w:rPr>
        <w:t>and local authorities will have access to £150m fund to help lower income households living in higher council tax properties, as well as households in bands A-D who do not currently pay council tax.</w:t>
      </w:r>
    </w:p>
    <w:p w14:paraId="131AD1DF" w14:textId="5AF2BDC7" w:rsidR="008A2284" w:rsidRPr="004E3B0A" w:rsidRDefault="00D35418" w:rsidP="008F574F">
      <w:pPr>
        <w:pStyle w:val="ListParagraph"/>
        <w:numPr>
          <w:ilvl w:val="0"/>
          <w:numId w:val="22"/>
        </w:numPr>
        <w:ind w:left="1418" w:right="421" w:hanging="709"/>
        <w:jc w:val="left"/>
        <w:rPr>
          <w:sz w:val="22"/>
          <w:szCs w:val="22"/>
        </w:rPr>
      </w:pPr>
      <w:r w:rsidRPr="004E3B0A">
        <w:rPr>
          <w:sz w:val="22"/>
          <w:szCs w:val="22"/>
        </w:rPr>
        <w:t xml:space="preserve">Recent raising of interest rates by the Bank of England, and announcements by the Chancellor of the Exchequer and resultant fall in the pound have made the outlook for household finances even bleaker. </w:t>
      </w:r>
    </w:p>
    <w:p w14:paraId="2298CCB7" w14:textId="77777777" w:rsidR="00297C19" w:rsidRPr="00E55171" w:rsidRDefault="00297C19" w:rsidP="00F8060C">
      <w:pPr>
        <w:ind w:hanging="578"/>
        <w:jc w:val="left"/>
        <w:rPr>
          <w:b/>
          <w:i/>
          <w:iCs/>
          <w:vanish/>
          <w:sz w:val="22"/>
          <w:szCs w:val="22"/>
        </w:rPr>
      </w:pPr>
    </w:p>
    <w:p w14:paraId="26FFDAFF" w14:textId="30482651" w:rsidR="00D35591" w:rsidRPr="00E55171" w:rsidRDefault="00D35591" w:rsidP="00F8060C">
      <w:pPr>
        <w:pStyle w:val="ListParagraph"/>
        <w:numPr>
          <w:ilvl w:val="1"/>
          <w:numId w:val="20"/>
        </w:numPr>
        <w:ind w:left="709" w:hanging="709"/>
        <w:contextualSpacing w:val="0"/>
        <w:jc w:val="left"/>
        <w:rPr>
          <w:b/>
          <w:i/>
          <w:iCs/>
          <w:sz w:val="22"/>
          <w:szCs w:val="22"/>
        </w:rPr>
      </w:pPr>
      <w:r w:rsidRPr="00E55171">
        <w:rPr>
          <w:b/>
          <w:i/>
          <w:iCs/>
          <w:sz w:val="22"/>
          <w:szCs w:val="22"/>
        </w:rPr>
        <w:t>Risk factors for poverty</w:t>
      </w:r>
    </w:p>
    <w:p w14:paraId="74EC2FEF" w14:textId="4EB8701E" w:rsidR="00D35591" w:rsidRPr="00D47CA8" w:rsidRDefault="0072156B" w:rsidP="00F8060C">
      <w:pPr>
        <w:pStyle w:val="ListParagraph"/>
        <w:numPr>
          <w:ilvl w:val="2"/>
          <w:numId w:val="30"/>
        </w:numPr>
        <w:ind w:right="421"/>
        <w:contextualSpacing w:val="0"/>
        <w:jc w:val="left"/>
        <w:rPr>
          <w:bCs/>
          <w:sz w:val="22"/>
          <w:szCs w:val="22"/>
        </w:rPr>
      </w:pPr>
      <w:r w:rsidRPr="00D47CA8">
        <w:rPr>
          <w:bCs/>
          <w:sz w:val="22"/>
          <w:szCs w:val="22"/>
        </w:rPr>
        <w:t xml:space="preserve">There are a number of factors which </w:t>
      </w:r>
      <w:r w:rsidR="00D22E8A" w:rsidRPr="00D47CA8">
        <w:rPr>
          <w:bCs/>
          <w:sz w:val="22"/>
          <w:szCs w:val="22"/>
        </w:rPr>
        <w:t>can mean that an individual is at risk of living in poverty. They include:</w:t>
      </w:r>
    </w:p>
    <w:p w14:paraId="1EAF707D" w14:textId="2B7832AA" w:rsidR="00444120" w:rsidRDefault="00444120" w:rsidP="008F574F">
      <w:pPr>
        <w:pStyle w:val="ListParagraph"/>
        <w:numPr>
          <w:ilvl w:val="0"/>
          <w:numId w:val="23"/>
        </w:numPr>
        <w:ind w:right="421" w:hanging="731"/>
        <w:contextualSpacing w:val="0"/>
        <w:jc w:val="left"/>
        <w:rPr>
          <w:bCs/>
          <w:sz w:val="22"/>
          <w:szCs w:val="22"/>
        </w:rPr>
      </w:pPr>
      <w:r>
        <w:rPr>
          <w:bCs/>
          <w:sz w:val="22"/>
          <w:szCs w:val="22"/>
        </w:rPr>
        <w:t>Living in fuel poverty</w:t>
      </w:r>
    </w:p>
    <w:p w14:paraId="6CA88922" w14:textId="21BD7C42" w:rsidR="007A76A9" w:rsidRDefault="00E761A1" w:rsidP="008F574F">
      <w:pPr>
        <w:pStyle w:val="ListParagraph"/>
        <w:numPr>
          <w:ilvl w:val="0"/>
          <w:numId w:val="23"/>
        </w:numPr>
        <w:ind w:right="421" w:hanging="731"/>
        <w:contextualSpacing w:val="0"/>
        <w:jc w:val="left"/>
        <w:rPr>
          <w:bCs/>
          <w:sz w:val="22"/>
          <w:szCs w:val="22"/>
        </w:rPr>
      </w:pPr>
      <w:r>
        <w:rPr>
          <w:bCs/>
          <w:sz w:val="22"/>
          <w:szCs w:val="22"/>
        </w:rPr>
        <w:t>Living in a d</w:t>
      </w:r>
      <w:r w:rsidR="007A76A9">
        <w:rPr>
          <w:bCs/>
          <w:sz w:val="22"/>
          <w:szCs w:val="22"/>
        </w:rPr>
        <w:t>welling without central heating</w:t>
      </w:r>
    </w:p>
    <w:p w14:paraId="1F0EF494" w14:textId="22432491" w:rsidR="007A76A9" w:rsidRDefault="007A76A9" w:rsidP="008F574F">
      <w:pPr>
        <w:pStyle w:val="ListParagraph"/>
        <w:numPr>
          <w:ilvl w:val="0"/>
          <w:numId w:val="23"/>
        </w:numPr>
        <w:ind w:right="421" w:hanging="731"/>
        <w:contextualSpacing w:val="0"/>
        <w:jc w:val="left"/>
        <w:rPr>
          <w:bCs/>
          <w:sz w:val="22"/>
          <w:szCs w:val="22"/>
        </w:rPr>
      </w:pPr>
      <w:r>
        <w:rPr>
          <w:bCs/>
          <w:sz w:val="22"/>
          <w:szCs w:val="22"/>
        </w:rPr>
        <w:t>Lone parent households</w:t>
      </w:r>
    </w:p>
    <w:p w14:paraId="50BBD296" w14:textId="1E98C36D" w:rsidR="007A76A9" w:rsidRPr="00F8060C" w:rsidRDefault="007E106C" w:rsidP="008F574F">
      <w:pPr>
        <w:pStyle w:val="ListParagraph"/>
        <w:numPr>
          <w:ilvl w:val="0"/>
          <w:numId w:val="23"/>
        </w:numPr>
        <w:ind w:right="421" w:hanging="731"/>
        <w:contextualSpacing w:val="0"/>
        <w:jc w:val="left"/>
        <w:rPr>
          <w:bCs/>
          <w:sz w:val="22"/>
          <w:szCs w:val="22"/>
        </w:rPr>
      </w:pPr>
      <w:r>
        <w:rPr>
          <w:bCs/>
          <w:sz w:val="22"/>
          <w:szCs w:val="22"/>
        </w:rPr>
        <w:t xml:space="preserve">Living with a disability or </w:t>
      </w:r>
      <w:r w:rsidR="00BE4318">
        <w:rPr>
          <w:bCs/>
          <w:sz w:val="22"/>
          <w:szCs w:val="22"/>
        </w:rPr>
        <w:t>long-term</w:t>
      </w:r>
      <w:r>
        <w:rPr>
          <w:bCs/>
          <w:sz w:val="22"/>
          <w:szCs w:val="22"/>
        </w:rPr>
        <w:t xml:space="preserve"> health issue</w:t>
      </w:r>
    </w:p>
    <w:p w14:paraId="4A77FE2D" w14:textId="7D1D4133" w:rsidR="00500CB9" w:rsidRPr="0019692F" w:rsidRDefault="00145271" w:rsidP="00F8060C">
      <w:pPr>
        <w:pStyle w:val="ListParagraph"/>
        <w:numPr>
          <w:ilvl w:val="1"/>
          <w:numId w:val="20"/>
        </w:numPr>
        <w:ind w:left="709" w:hanging="709"/>
        <w:contextualSpacing w:val="0"/>
        <w:jc w:val="left"/>
        <w:rPr>
          <w:b/>
          <w:i/>
          <w:iCs/>
          <w:sz w:val="22"/>
          <w:szCs w:val="22"/>
        </w:rPr>
      </w:pPr>
      <w:r w:rsidRPr="0019692F">
        <w:rPr>
          <w:b/>
          <w:i/>
          <w:iCs/>
          <w:sz w:val="22"/>
          <w:szCs w:val="22"/>
        </w:rPr>
        <w:t xml:space="preserve">Fuel </w:t>
      </w:r>
      <w:r w:rsidR="00CB645C">
        <w:rPr>
          <w:b/>
          <w:i/>
          <w:iCs/>
          <w:sz w:val="22"/>
          <w:szCs w:val="22"/>
        </w:rPr>
        <w:t>p</w:t>
      </w:r>
      <w:r w:rsidRPr="0019692F">
        <w:rPr>
          <w:b/>
          <w:i/>
          <w:iCs/>
          <w:sz w:val="22"/>
          <w:szCs w:val="22"/>
        </w:rPr>
        <w:t>overt</w:t>
      </w:r>
      <w:r w:rsidR="00C568AC" w:rsidRPr="0019692F">
        <w:rPr>
          <w:b/>
          <w:i/>
          <w:iCs/>
          <w:sz w:val="22"/>
          <w:szCs w:val="22"/>
        </w:rPr>
        <w:t>y</w:t>
      </w:r>
    </w:p>
    <w:p w14:paraId="1B6E669B" w14:textId="09DE408D" w:rsidR="00BC36D7" w:rsidRPr="00500CB9" w:rsidRDefault="00500CB9" w:rsidP="00F8060C">
      <w:pPr>
        <w:pStyle w:val="ListParagraph"/>
        <w:numPr>
          <w:ilvl w:val="3"/>
          <w:numId w:val="20"/>
        </w:numPr>
        <w:ind w:left="709" w:right="421" w:hanging="709"/>
        <w:contextualSpacing w:val="0"/>
        <w:jc w:val="left"/>
        <w:rPr>
          <w:b/>
          <w:sz w:val="22"/>
          <w:szCs w:val="22"/>
        </w:rPr>
      </w:pPr>
      <w:r w:rsidRPr="00714C19">
        <w:rPr>
          <w:rFonts w:eastAsia="+mn-ea" w:cs="+mn-cs"/>
          <w:kern w:val="24"/>
          <w:sz w:val="22"/>
          <w:szCs w:val="22"/>
          <w:lang w:eastAsia="en-GB"/>
        </w:rPr>
        <w:t>Fuel poverty in England is measured using the Low Income High Costs indicator, which considers a household to be fuel</w:t>
      </w:r>
      <w:r w:rsidR="003460BD">
        <w:rPr>
          <w:rFonts w:eastAsia="+mn-ea" w:cs="+mn-cs"/>
          <w:kern w:val="24"/>
          <w:sz w:val="22"/>
          <w:szCs w:val="22"/>
          <w:lang w:eastAsia="en-GB"/>
        </w:rPr>
        <w:t xml:space="preserve"> </w:t>
      </w:r>
      <w:r w:rsidRPr="00714C19">
        <w:rPr>
          <w:rFonts w:eastAsia="+mn-ea" w:cs="+mn-cs"/>
          <w:kern w:val="24"/>
          <w:sz w:val="22"/>
          <w:szCs w:val="22"/>
          <w:lang w:eastAsia="en-GB"/>
        </w:rPr>
        <w:t>poor if:</w:t>
      </w:r>
    </w:p>
    <w:p w14:paraId="76082A26" w14:textId="77777777" w:rsidR="00C50736" w:rsidRPr="001027AC" w:rsidRDefault="00C50736" w:rsidP="001027AC">
      <w:pPr>
        <w:pStyle w:val="ListParagraph"/>
        <w:numPr>
          <w:ilvl w:val="0"/>
          <w:numId w:val="34"/>
        </w:numPr>
        <w:ind w:left="1418" w:right="421" w:hanging="709"/>
        <w:jc w:val="left"/>
        <w:rPr>
          <w:sz w:val="22"/>
          <w:szCs w:val="22"/>
          <w:lang w:eastAsia="en-GB"/>
        </w:rPr>
      </w:pPr>
      <w:r w:rsidRPr="001027AC">
        <w:rPr>
          <w:rFonts w:eastAsia="+mn-ea" w:cs="+mn-cs"/>
          <w:kern w:val="24"/>
          <w:sz w:val="22"/>
          <w:szCs w:val="22"/>
          <w:lang w:eastAsia="en-GB"/>
        </w:rPr>
        <w:t xml:space="preserve">they have required fuel costs that are above average (the national median level); </w:t>
      </w:r>
    </w:p>
    <w:p w14:paraId="3DE5E28C" w14:textId="391D05CD" w:rsidR="000E0892" w:rsidRPr="0069210F" w:rsidRDefault="00C50736" w:rsidP="001027AC">
      <w:pPr>
        <w:pStyle w:val="ListParagraph"/>
        <w:numPr>
          <w:ilvl w:val="0"/>
          <w:numId w:val="34"/>
        </w:numPr>
        <w:ind w:left="1418" w:right="421" w:hanging="709"/>
        <w:jc w:val="left"/>
        <w:rPr>
          <w:sz w:val="22"/>
          <w:szCs w:val="22"/>
          <w:lang w:eastAsia="en-GB"/>
        </w:rPr>
      </w:pPr>
      <w:r w:rsidRPr="001027AC">
        <w:rPr>
          <w:rFonts w:eastAsia="+mn-ea" w:cs="+mn-cs"/>
          <w:kern w:val="24"/>
          <w:sz w:val="22"/>
          <w:szCs w:val="22"/>
          <w:lang w:eastAsia="en-GB"/>
        </w:rPr>
        <w:t>were they to spend that amount, they would be left with a residual income below the official poverty line.</w:t>
      </w:r>
      <w:r w:rsidR="000A155E">
        <w:rPr>
          <w:rStyle w:val="EndnoteReference"/>
          <w:rFonts w:eastAsia="+mn-ea" w:cs="+mn-cs"/>
          <w:kern w:val="24"/>
          <w:sz w:val="22"/>
          <w:szCs w:val="22"/>
          <w:lang w:eastAsia="en-GB"/>
        </w:rPr>
        <w:endnoteReference w:id="38"/>
      </w:r>
    </w:p>
    <w:p w14:paraId="29745B25" w14:textId="77777777" w:rsidR="0069210F" w:rsidRPr="001027AC" w:rsidRDefault="0069210F" w:rsidP="0069210F">
      <w:pPr>
        <w:pStyle w:val="ListParagraph"/>
        <w:ind w:left="1418" w:right="421" w:firstLine="0"/>
        <w:jc w:val="left"/>
        <w:rPr>
          <w:sz w:val="22"/>
          <w:szCs w:val="22"/>
          <w:lang w:eastAsia="en-GB"/>
        </w:rPr>
      </w:pPr>
    </w:p>
    <w:p w14:paraId="6A2B473E" w14:textId="75A98E25" w:rsidR="00C568AC" w:rsidRPr="00F8060C" w:rsidRDefault="00A82CA3" w:rsidP="00F8060C">
      <w:pPr>
        <w:pStyle w:val="ListParagraph"/>
        <w:numPr>
          <w:ilvl w:val="3"/>
          <w:numId w:val="20"/>
        </w:numPr>
        <w:ind w:left="709" w:right="421" w:hanging="709"/>
        <w:contextualSpacing w:val="0"/>
        <w:jc w:val="left"/>
        <w:rPr>
          <w:sz w:val="22"/>
          <w:szCs w:val="22"/>
          <w:lang w:eastAsia="en-GB"/>
        </w:rPr>
      </w:pPr>
      <w:r w:rsidRPr="00500CB9">
        <w:rPr>
          <w:sz w:val="22"/>
          <w:szCs w:val="22"/>
        </w:rPr>
        <w:t>13.</w:t>
      </w:r>
      <w:r w:rsidR="006A42A4" w:rsidRPr="00500CB9">
        <w:rPr>
          <w:sz w:val="22"/>
          <w:szCs w:val="22"/>
        </w:rPr>
        <w:t>3</w:t>
      </w:r>
      <w:r w:rsidR="00EC3D80" w:rsidRPr="00500CB9">
        <w:rPr>
          <w:sz w:val="22"/>
          <w:szCs w:val="22"/>
        </w:rPr>
        <w:t xml:space="preserve">% of households in </w:t>
      </w:r>
      <w:r w:rsidR="00C50736" w:rsidRPr="00500CB9">
        <w:rPr>
          <w:sz w:val="22"/>
          <w:szCs w:val="22"/>
        </w:rPr>
        <w:t xml:space="preserve">the </w:t>
      </w:r>
      <w:r w:rsidR="001D61F1" w:rsidRPr="00500CB9">
        <w:rPr>
          <w:sz w:val="22"/>
          <w:szCs w:val="22"/>
        </w:rPr>
        <w:t>District</w:t>
      </w:r>
      <w:r w:rsidR="00C50736" w:rsidRPr="00500CB9">
        <w:rPr>
          <w:sz w:val="22"/>
          <w:szCs w:val="22"/>
        </w:rPr>
        <w:t xml:space="preserve"> were in fuel poverty</w:t>
      </w:r>
      <w:r w:rsidR="00685AA7" w:rsidRPr="00500CB9">
        <w:rPr>
          <w:sz w:val="22"/>
          <w:szCs w:val="22"/>
        </w:rPr>
        <w:t xml:space="preserve"> according to the latest </w:t>
      </w:r>
      <w:r w:rsidRPr="00500CB9">
        <w:rPr>
          <w:sz w:val="22"/>
          <w:szCs w:val="22"/>
        </w:rPr>
        <w:t>data for 20</w:t>
      </w:r>
      <w:r w:rsidR="006A42A4" w:rsidRPr="00500CB9">
        <w:rPr>
          <w:sz w:val="22"/>
          <w:szCs w:val="22"/>
        </w:rPr>
        <w:t>20</w:t>
      </w:r>
      <w:r w:rsidR="00C50736" w:rsidRPr="00500CB9">
        <w:rPr>
          <w:sz w:val="22"/>
          <w:szCs w:val="22"/>
        </w:rPr>
        <w:t xml:space="preserve">, compared to </w:t>
      </w:r>
      <w:r w:rsidRPr="00500CB9">
        <w:rPr>
          <w:sz w:val="22"/>
          <w:szCs w:val="22"/>
        </w:rPr>
        <w:t>14.</w:t>
      </w:r>
      <w:r w:rsidR="005C0B5C" w:rsidRPr="00500CB9">
        <w:rPr>
          <w:sz w:val="22"/>
          <w:szCs w:val="22"/>
        </w:rPr>
        <w:t>3</w:t>
      </w:r>
      <w:r w:rsidRPr="00500CB9">
        <w:rPr>
          <w:sz w:val="22"/>
          <w:szCs w:val="22"/>
        </w:rPr>
        <w:t>% in Warwickshire and 1</w:t>
      </w:r>
      <w:r w:rsidR="005C0B5C" w:rsidRPr="00500CB9">
        <w:rPr>
          <w:sz w:val="22"/>
          <w:szCs w:val="22"/>
        </w:rPr>
        <w:t>3.2</w:t>
      </w:r>
      <w:r w:rsidR="00EC3D80" w:rsidRPr="00500CB9">
        <w:rPr>
          <w:sz w:val="22"/>
          <w:szCs w:val="22"/>
        </w:rPr>
        <w:t xml:space="preserve">% </w:t>
      </w:r>
      <w:r w:rsidR="00AC7EC7" w:rsidRPr="00500CB9">
        <w:rPr>
          <w:sz w:val="22"/>
          <w:szCs w:val="22"/>
        </w:rPr>
        <w:t>in England</w:t>
      </w:r>
      <w:r w:rsidR="00B0085B" w:rsidRPr="00500CB9">
        <w:rPr>
          <w:sz w:val="22"/>
          <w:szCs w:val="22"/>
        </w:rPr>
        <w:t>.</w:t>
      </w:r>
      <w:r w:rsidR="001F7BBE">
        <w:rPr>
          <w:rStyle w:val="EndnoteReference"/>
          <w:sz w:val="22"/>
          <w:szCs w:val="22"/>
        </w:rPr>
        <w:endnoteReference w:id="39"/>
      </w:r>
    </w:p>
    <w:p w14:paraId="23C05A69" w14:textId="68BADBCE" w:rsidR="00E5746E" w:rsidRPr="00F8060C" w:rsidRDefault="00C50736" w:rsidP="00F8060C">
      <w:pPr>
        <w:pStyle w:val="ListParagraph"/>
        <w:numPr>
          <w:ilvl w:val="3"/>
          <w:numId w:val="20"/>
        </w:numPr>
        <w:ind w:left="709" w:right="421" w:hanging="709"/>
        <w:contextualSpacing w:val="0"/>
        <w:jc w:val="left"/>
        <w:rPr>
          <w:sz w:val="22"/>
          <w:szCs w:val="22"/>
          <w:lang w:eastAsia="en-GB"/>
        </w:rPr>
      </w:pPr>
      <w:r w:rsidRPr="00500CB9">
        <w:rPr>
          <w:sz w:val="22"/>
          <w:szCs w:val="22"/>
          <w:lang w:eastAsia="en-GB"/>
        </w:rPr>
        <w:t xml:space="preserve">There was </w:t>
      </w:r>
      <w:r w:rsidR="00A82CA3" w:rsidRPr="00500CB9">
        <w:rPr>
          <w:sz w:val="22"/>
          <w:szCs w:val="22"/>
          <w:lang w:eastAsia="en-GB"/>
        </w:rPr>
        <w:t xml:space="preserve">huge </w:t>
      </w:r>
      <w:r w:rsidRPr="00500CB9">
        <w:rPr>
          <w:sz w:val="22"/>
          <w:szCs w:val="22"/>
          <w:lang w:eastAsia="en-GB"/>
        </w:rPr>
        <w:t xml:space="preserve">variation across the </w:t>
      </w:r>
      <w:r w:rsidR="001D61F1" w:rsidRPr="00500CB9">
        <w:rPr>
          <w:sz w:val="22"/>
          <w:szCs w:val="22"/>
          <w:lang w:eastAsia="en-GB"/>
        </w:rPr>
        <w:t>District</w:t>
      </w:r>
      <w:r w:rsidRPr="00500CB9">
        <w:rPr>
          <w:sz w:val="22"/>
          <w:szCs w:val="22"/>
          <w:lang w:eastAsia="en-GB"/>
        </w:rPr>
        <w:t xml:space="preserve"> in the proportion of households in</w:t>
      </w:r>
      <w:r w:rsidR="00A82CA3" w:rsidRPr="00500CB9">
        <w:rPr>
          <w:sz w:val="22"/>
          <w:szCs w:val="22"/>
          <w:lang w:eastAsia="en-GB"/>
        </w:rPr>
        <w:t xml:space="preserve"> fuel poverty, ranging from 20</w:t>
      </w:r>
      <w:r w:rsidR="00F1696B" w:rsidRPr="00500CB9">
        <w:rPr>
          <w:sz w:val="22"/>
          <w:szCs w:val="22"/>
          <w:lang w:eastAsia="en-GB"/>
        </w:rPr>
        <w:t>% households</w:t>
      </w:r>
      <w:r w:rsidRPr="00500CB9">
        <w:rPr>
          <w:sz w:val="22"/>
          <w:szCs w:val="22"/>
          <w:lang w:eastAsia="en-GB"/>
        </w:rPr>
        <w:t xml:space="preserve"> </w:t>
      </w:r>
      <w:r w:rsidR="001C1773" w:rsidRPr="00500CB9">
        <w:rPr>
          <w:sz w:val="22"/>
          <w:szCs w:val="22"/>
          <w:lang w:eastAsia="en-GB"/>
        </w:rPr>
        <w:t>in Stratford Mount Pleasant</w:t>
      </w:r>
      <w:r w:rsidR="00E96D29" w:rsidRPr="00500CB9">
        <w:rPr>
          <w:sz w:val="22"/>
          <w:szCs w:val="22"/>
          <w:lang w:eastAsia="en-GB"/>
        </w:rPr>
        <w:t>, 19% in Lighthorne and Lighthorne Heath, and 18% in Dunnington and Salford Priors to</w:t>
      </w:r>
      <w:r w:rsidR="00B0085B" w:rsidRPr="00500CB9">
        <w:rPr>
          <w:sz w:val="22"/>
          <w:szCs w:val="22"/>
          <w:lang w:eastAsia="en-GB"/>
        </w:rPr>
        <w:t xml:space="preserve"> </w:t>
      </w:r>
      <w:r w:rsidR="00CB706C" w:rsidRPr="00500CB9">
        <w:rPr>
          <w:sz w:val="22"/>
          <w:szCs w:val="22"/>
          <w:lang w:eastAsia="en-GB"/>
        </w:rPr>
        <w:t>5</w:t>
      </w:r>
      <w:r w:rsidR="00B0085B" w:rsidRPr="00500CB9">
        <w:rPr>
          <w:sz w:val="22"/>
          <w:szCs w:val="22"/>
          <w:lang w:eastAsia="en-GB"/>
        </w:rPr>
        <w:t>% in Wellesbourne South, with the average being 1</w:t>
      </w:r>
      <w:r w:rsidR="0030286B" w:rsidRPr="00500CB9">
        <w:rPr>
          <w:sz w:val="22"/>
          <w:szCs w:val="22"/>
          <w:lang w:eastAsia="en-GB"/>
        </w:rPr>
        <w:t>3</w:t>
      </w:r>
      <w:r w:rsidR="00B0085B" w:rsidRPr="00500CB9">
        <w:rPr>
          <w:sz w:val="22"/>
          <w:szCs w:val="22"/>
          <w:lang w:eastAsia="en-GB"/>
        </w:rPr>
        <w:t>%.</w:t>
      </w:r>
    </w:p>
    <w:p w14:paraId="62A43B0E" w14:textId="7EC3FDCB" w:rsidR="00E34836" w:rsidRPr="0019692F" w:rsidRDefault="0030514B" w:rsidP="00F8060C">
      <w:pPr>
        <w:pStyle w:val="ListParagraph"/>
        <w:numPr>
          <w:ilvl w:val="1"/>
          <w:numId w:val="20"/>
        </w:numPr>
        <w:contextualSpacing w:val="0"/>
        <w:jc w:val="left"/>
        <w:rPr>
          <w:b/>
          <w:bCs/>
          <w:i/>
          <w:iCs/>
          <w:sz w:val="22"/>
          <w:szCs w:val="22"/>
          <w:lang w:eastAsia="en-GB"/>
        </w:rPr>
      </w:pPr>
      <w:r w:rsidRPr="0019692F">
        <w:rPr>
          <w:b/>
          <w:bCs/>
          <w:i/>
          <w:iCs/>
          <w:sz w:val="22"/>
          <w:szCs w:val="22"/>
          <w:lang w:eastAsia="en-GB"/>
        </w:rPr>
        <w:t>Dwellings without central heating</w:t>
      </w:r>
    </w:p>
    <w:p w14:paraId="45019AED" w14:textId="413B2EA8" w:rsidR="00F524A2" w:rsidRPr="00F8060C" w:rsidRDefault="00466E3C" w:rsidP="00F8060C">
      <w:pPr>
        <w:pStyle w:val="ListParagraph"/>
        <w:numPr>
          <w:ilvl w:val="3"/>
          <w:numId w:val="20"/>
        </w:numPr>
        <w:ind w:left="709" w:right="421" w:hanging="709"/>
        <w:contextualSpacing w:val="0"/>
        <w:rPr>
          <w:sz w:val="22"/>
          <w:szCs w:val="22"/>
          <w:lang w:eastAsia="en-GB"/>
        </w:rPr>
      </w:pPr>
      <w:r>
        <w:rPr>
          <w:sz w:val="22"/>
          <w:szCs w:val="22"/>
          <w:lang w:eastAsia="en-GB"/>
        </w:rPr>
        <w:t>This</w:t>
      </w:r>
      <w:r w:rsidR="00100BCE">
        <w:rPr>
          <w:sz w:val="22"/>
          <w:szCs w:val="22"/>
          <w:lang w:eastAsia="en-GB"/>
        </w:rPr>
        <w:t xml:space="preserve"> measure comes from the 2011 Census, so is not expected to </w:t>
      </w:r>
      <w:r w:rsidR="00F524A2">
        <w:rPr>
          <w:sz w:val="22"/>
          <w:szCs w:val="22"/>
          <w:lang w:eastAsia="en-GB"/>
        </w:rPr>
        <w:t>be accurate at this time: however, results from the 2021 Census have not been released as yet.</w:t>
      </w:r>
    </w:p>
    <w:p w14:paraId="4F0A3A5C" w14:textId="31DF1E2A" w:rsidR="0091036D" w:rsidRPr="00F8060C" w:rsidRDefault="00440CDB" w:rsidP="00F8060C">
      <w:pPr>
        <w:pStyle w:val="ListParagraph"/>
        <w:numPr>
          <w:ilvl w:val="3"/>
          <w:numId w:val="20"/>
        </w:numPr>
        <w:ind w:left="709" w:right="421" w:hanging="709"/>
        <w:contextualSpacing w:val="0"/>
        <w:rPr>
          <w:sz w:val="22"/>
          <w:szCs w:val="22"/>
          <w:lang w:eastAsia="en-GB"/>
        </w:rPr>
      </w:pPr>
      <w:r>
        <w:rPr>
          <w:sz w:val="22"/>
          <w:szCs w:val="22"/>
          <w:lang w:eastAsia="en-GB"/>
        </w:rPr>
        <w:lastRenderedPageBreak/>
        <w:t>The proportion of dwellings without central heating</w:t>
      </w:r>
      <w:r w:rsidR="00466E3C">
        <w:rPr>
          <w:sz w:val="22"/>
          <w:szCs w:val="22"/>
          <w:lang w:eastAsia="en-GB"/>
        </w:rPr>
        <w:t xml:space="preserve"> varied across LSOAs, ranging </w:t>
      </w:r>
      <w:r w:rsidR="00C34194">
        <w:rPr>
          <w:sz w:val="22"/>
          <w:szCs w:val="22"/>
          <w:lang w:eastAsia="en-GB"/>
        </w:rPr>
        <w:t>f</w:t>
      </w:r>
      <w:r w:rsidR="00466E3C">
        <w:rPr>
          <w:sz w:val="22"/>
          <w:szCs w:val="22"/>
          <w:lang w:eastAsia="en-GB"/>
        </w:rPr>
        <w:t>rom 0% in Wellesbourne South up to 6.1% in Town Centre North.</w:t>
      </w:r>
      <w:r w:rsidR="0091036D">
        <w:rPr>
          <w:sz w:val="22"/>
          <w:szCs w:val="22"/>
          <w:lang w:eastAsia="en-GB"/>
        </w:rPr>
        <w:t xml:space="preserve"> Table 1</w:t>
      </w:r>
      <w:r w:rsidR="001E3DEB">
        <w:rPr>
          <w:sz w:val="22"/>
          <w:szCs w:val="22"/>
          <w:lang w:eastAsia="en-GB"/>
        </w:rPr>
        <w:t>2</w:t>
      </w:r>
      <w:r w:rsidR="0091036D">
        <w:rPr>
          <w:sz w:val="22"/>
          <w:szCs w:val="22"/>
          <w:lang w:eastAsia="en-GB"/>
        </w:rPr>
        <w:t xml:space="preserve"> below shows the LSOAs </w:t>
      </w:r>
      <w:r w:rsidR="00706A76">
        <w:rPr>
          <w:sz w:val="22"/>
          <w:szCs w:val="22"/>
          <w:lang w:eastAsia="en-GB"/>
        </w:rPr>
        <w:t>where</w:t>
      </w:r>
      <w:r w:rsidR="0091036D">
        <w:rPr>
          <w:sz w:val="22"/>
          <w:szCs w:val="22"/>
          <w:lang w:eastAsia="en-GB"/>
        </w:rPr>
        <w:t xml:space="preserve"> </w:t>
      </w:r>
      <w:r w:rsidR="00706A76">
        <w:rPr>
          <w:sz w:val="22"/>
          <w:szCs w:val="22"/>
          <w:lang w:eastAsia="en-GB"/>
        </w:rPr>
        <w:t xml:space="preserve">over 3% </w:t>
      </w:r>
      <w:r w:rsidR="0091036D">
        <w:rPr>
          <w:sz w:val="22"/>
          <w:szCs w:val="22"/>
          <w:lang w:eastAsia="en-GB"/>
        </w:rPr>
        <w:t xml:space="preserve"> dwellings </w:t>
      </w:r>
      <w:r w:rsidR="00706A76">
        <w:rPr>
          <w:sz w:val="22"/>
          <w:szCs w:val="22"/>
          <w:lang w:eastAsia="en-GB"/>
        </w:rPr>
        <w:t>have no</w:t>
      </w:r>
      <w:r w:rsidR="0091036D">
        <w:rPr>
          <w:sz w:val="22"/>
          <w:szCs w:val="22"/>
          <w:lang w:eastAsia="en-GB"/>
        </w:rPr>
        <w:t xml:space="preserve"> central heating.</w:t>
      </w:r>
      <w:r w:rsidR="00466E3C">
        <w:rPr>
          <w:sz w:val="22"/>
          <w:szCs w:val="22"/>
          <w:lang w:eastAsia="en-GB"/>
        </w:rPr>
        <w:t xml:space="preserve"> </w:t>
      </w:r>
    </w:p>
    <w:p w14:paraId="25C2CCFE" w14:textId="00E836DD" w:rsidR="0091036D" w:rsidRPr="008D7D3E" w:rsidRDefault="0091036D" w:rsidP="00F8060C">
      <w:pPr>
        <w:pStyle w:val="Caption"/>
        <w:keepNext/>
        <w:spacing w:after="120"/>
        <w:ind w:hanging="11"/>
        <w:rPr>
          <w:i w:val="0"/>
          <w:iCs w:val="0"/>
          <w:color w:val="auto"/>
          <w:sz w:val="22"/>
          <w:szCs w:val="22"/>
        </w:rPr>
      </w:pPr>
      <w:r w:rsidRPr="008D7D3E">
        <w:rPr>
          <w:i w:val="0"/>
          <w:iCs w:val="0"/>
          <w:color w:val="auto"/>
          <w:sz w:val="22"/>
          <w:szCs w:val="22"/>
        </w:rPr>
        <w:t xml:space="preserve">Table </w:t>
      </w:r>
      <w:r w:rsidR="00F61229" w:rsidRPr="008D7D3E">
        <w:rPr>
          <w:i w:val="0"/>
          <w:iCs w:val="0"/>
          <w:color w:val="auto"/>
          <w:sz w:val="22"/>
          <w:szCs w:val="22"/>
        </w:rPr>
        <w:fldChar w:fldCharType="begin"/>
      </w:r>
      <w:r w:rsidR="00F61229" w:rsidRPr="008D7D3E">
        <w:rPr>
          <w:i w:val="0"/>
          <w:iCs w:val="0"/>
          <w:color w:val="auto"/>
          <w:sz w:val="22"/>
          <w:szCs w:val="22"/>
        </w:rPr>
        <w:instrText xml:space="preserve"> SEQ Table \* ARABIC </w:instrText>
      </w:r>
      <w:r w:rsidR="00F61229" w:rsidRPr="008D7D3E">
        <w:rPr>
          <w:i w:val="0"/>
          <w:iCs w:val="0"/>
          <w:color w:val="auto"/>
          <w:sz w:val="22"/>
          <w:szCs w:val="22"/>
        </w:rPr>
        <w:fldChar w:fldCharType="separate"/>
      </w:r>
      <w:r w:rsidR="00E94700" w:rsidRPr="008D7D3E">
        <w:rPr>
          <w:i w:val="0"/>
          <w:iCs w:val="0"/>
          <w:noProof/>
          <w:color w:val="auto"/>
          <w:sz w:val="22"/>
          <w:szCs w:val="22"/>
        </w:rPr>
        <w:t>13</w:t>
      </w:r>
      <w:r w:rsidR="00F61229" w:rsidRPr="008D7D3E">
        <w:rPr>
          <w:i w:val="0"/>
          <w:iCs w:val="0"/>
          <w:noProof/>
          <w:color w:val="auto"/>
          <w:sz w:val="22"/>
          <w:szCs w:val="22"/>
        </w:rPr>
        <w:fldChar w:fldCharType="end"/>
      </w:r>
    </w:p>
    <w:tbl>
      <w:tblPr>
        <w:tblStyle w:val="GridTable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9"/>
        <w:gridCol w:w="1842"/>
        <w:gridCol w:w="1985"/>
      </w:tblGrid>
      <w:tr w:rsidR="0091036D" w:rsidRPr="002F5954" w14:paraId="73912F91" w14:textId="77777777" w:rsidTr="00072B7D">
        <w:trPr>
          <w:cnfStyle w:val="100000000000" w:firstRow="1" w:lastRow="0" w:firstColumn="0" w:lastColumn="0" w:oddVBand="0" w:evenVBand="0" w:oddHBand="0"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5949" w:type="dxa"/>
            <w:tcBorders>
              <w:top w:val="none" w:sz="0" w:space="0" w:color="auto"/>
              <w:bottom w:val="none" w:sz="0" w:space="0" w:color="auto"/>
              <w:right w:val="none" w:sz="0" w:space="0" w:color="auto"/>
            </w:tcBorders>
            <w:noWrap/>
            <w:hideMark/>
          </w:tcPr>
          <w:p w14:paraId="54213AB4" w14:textId="77777777" w:rsidR="0091036D" w:rsidRPr="002F5954" w:rsidRDefault="0091036D" w:rsidP="004E2B05">
            <w:pPr>
              <w:rPr>
                <w:b w:val="0"/>
                <w:color w:val="1F497D" w:themeColor="text2"/>
                <w:sz w:val="20"/>
                <w:szCs w:val="20"/>
              </w:rPr>
            </w:pPr>
            <w:r w:rsidRPr="002F5954">
              <w:rPr>
                <w:color w:val="1F497D" w:themeColor="text2"/>
                <w:sz w:val="20"/>
                <w:szCs w:val="20"/>
              </w:rPr>
              <w:t> Lower Super Output Area</w:t>
            </w:r>
          </w:p>
        </w:tc>
        <w:tc>
          <w:tcPr>
            <w:tcW w:w="1842" w:type="dxa"/>
            <w:tcBorders>
              <w:top w:val="none" w:sz="0" w:space="0" w:color="auto"/>
              <w:left w:val="none" w:sz="0" w:space="0" w:color="auto"/>
              <w:bottom w:val="none" w:sz="0" w:space="0" w:color="auto"/>
              <w:right w:val="none" w:sz="0" w:space="0" w:color="auto"/>
            </w:tcBorders>
            <w:vAlign w:val="center"/>
            <w:hideMark/>
          </w:tcPr>
          <w:p w14:paraId="19D5F98A" w14:textId="5C5CDB10" w:rsidR="0091036D" w:rsidRPr="0091036D" w:rsidRDefault="00072B7D" w:rsidP="00072B7D">
            <w:pPr>
              <w:ind w:left="0" w:right="-102" w:hanging="80"/>
              <w:jc w:val="center"/>
              <w:cnfStyle w:val="100000000000" w:firstRow="1" w:lastRow="0" w:firstColumn="0" w:lastColumn="0" w:oddVBand="0" w:evenVBand="0" w:oddHBand="0" w:evenHBand="0" w:firstRowFirstColumn="0" w:firstRowLastColumn="0" w:lastRowFirstColumn="0" w:lastRowLastColumn="0"/>
              <w:rPr>
                <w:color w:val="1F497D" w:themeColor="text2"/>
                <w:sz w:val="14"/>
                <w:szCs w:val="14"/>
              </w:rPr>
            </w:pPr>
            <w:r>
              <w:rPr>
                <w:color w:val="1F497D" w:themeColor="text2"/>
                <w:sz w:val="14"/>
                <w:szCs w:val="14"/>
              </w:rPr>
              <w:t>Nos of dwellings with no central heating</w:t>
            </w:r>
          </w:p>
        </w:tc>
        <w:tc>
          <w:tcPr>
            <w:tcW w:w="1985" w:type="dxa"/>
            <w:tcBorders>
              <w:top w:val="none" w:sz="0" w:space="0" w:color="auto"/>
              <w:left w:val="none" w:sz="0" w:space="0" w:color="auto"/>
              <w:bottom w:val="none" w:sz="0" w:space="0" w:color="auto"/>
            </w:tcBorders>
            <w:vAlign w:val="center"/>
            <w:hideMark/>
          </w:tcPr>
          <w:p w14:paraId="40D2D70F" w14:textId="77777777" w:rsidR="0091036D" w:rsidRPr="0091036D" w:rsidRDefault="0091036D" w:rsidP="00C34194">
            <w:pPr>
              <w:ind w:left="-107" w:right="-102" w:firstLine="0"/>
              <w:jc w:val="center"/>
              <w:cnfStyle w:val="100000000000" w:firstRow="1" w:lastRow="0" w:firstColumn="0" w:lastColumn="0" w:oddVBand="0" w:evenVBand="0" w:oddHBand="0" w:evenHBand="0" w:firstRowFirstColumn="0" w:firstRowLastColumn="0" w:lastRowFirstColumn="0" w:lastRowLastColumn="0"/>
              <w:rPr>
                <w:color w:val="1F497D" w:themeColor="text2"/>
                <w:sz w:val="14"/>
                <w:szCs w:val="14"/>
              </w:rPr>
            </w:pPr>
            <w:r w:rsidRPr="0091036D">
              <w:rPr>
                <w:color w:val="1F497D" w:themeColor="text2"/>
                <w:sz w:val="14"/>
                <w:szCs w:val="14"/>
              </w:rPr>
              <w:t>Proportion of dwellings with no central heating (%)</w:t>
            </w:r>
          </w:p>
        </w:tc>
      </w:tr>
      <w:tr w:rsidR="0091036D" w:rsidRPr="002F5954" w14:paraId="50DB2EC1"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23DAB4B4"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Town Centre North </w:t>
            </w:r>
          </w:p>
        </w:tc>
        <w:tc>
          <w:tcPr>
            <w:tcW w:w="1842" w:type="dxa"/>
            <w:noWrap/>
            <w:vAlign w:val="center"/>
            <w:hideMark/>
          </w:tcPr>
          <w:p w14:paraId="18532DF1"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61</w:t>
            </w:r>
          </w:p>
        </w:tc>
        <w:tc>
          <w:tcPr>
            <w:tcW w:w="1985" w:type="dxa"/>
            <w:noWrap/>
            <w:vAlign w:val="center"/>
            <w:hideMark/>
          </w:tcPr>
          <w:p w14:paraId="4A163424"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6.1</w:t>
            </w:r>
          </w:p>
        </w:tc>
      </w:tr>
      <w:tr w:rsidR="0091036D" w:rsidRPr="002F5954" w14:paraId="406D49DB"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039D8E9D"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Kinwarton </w:t>
            </w:r>
          </w:p>
        </w:tc>
        <w:tc>
          <w:tcPr>
            <w:tcW w:w="1842" w:type="dxa"/>
            <w:noWrap/>
            <w:vAlign w:val="center"/>
            <w:hideMark/>
          </w:tcPr>
          <w:p w14:paraId="4E74D11C"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41</w:t>
            </w:r>
          </w:p>
        </w:tc>
        <w:tc>
          <w:tcPr>
            <w:tcW w:w="1985" w:type="dxa"/>
            <w:noWrap/>
            <w:vAlign w:val="center"/>
            <w:hideMark/>
          </w:tcPr>
          <w:p w14:paraId="72870239"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4.7</w:t>
            </w:r>
          </w:p>
        </w:tc>
      </w:tr>
      <w:tr w:rsidR="0091036D" w:rsidRPr="002F5954" w14:paraId="52A7268D"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3BB727DB"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Bidford South, Marlcliff and Barton </w:t>
            </w:r>
          </w:p>
        </w:tc>
        <w:tc>
          <w:tcPr>
            <w:tcW w:w="1842" w:type="dxa"/>
            <w:noWrap/>
            <w:vAlign w:val="center"/>
            <w:hideMark/>
          </w:tcPr>
          <w:p w14:paraId="7C80D977"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37</w:t>
            </w:r>
          </w:p>
        </w:tc>
        <w:tc>
          <w:tcPr>
            <w:tcW w:w="1985" w:type="dxa"/>
            <w:noWrap/>
            <w:vAlign w:val="center"/>
            <w:hideMark/>
          </w:tcPr>
          <w:p w14:paraId="7623B36C"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4.3</w:t>
            </w:r>
          </w:p>
        </w:tc>
      </w:tr>
      <w:tr w:rsidR="0091036D" w:rsidRPr="002F5954" w14:paraId="6DDE85DA"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717ED3D9"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Old Town &amp; Town Centre South </w:t>
            </w:r>
          </w:p>
        </w:tc>
        <w:tc>
          <w:tcPr>
            <w:tcW w:w="1842" w:type="dxa"/>
            <w:noWrap/>
            <w:vAlign w:val="center"/>
            <w:hideMark/>
          </w:tcPr>
          <w:p w14:paraId="299229DD"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42</w:t>
            </w:r>
          </w:p>
        </w:tc>
        <w:tc>
          <w:tcPr>
            <w:tcW w:w="1985" w:type="dxa"/>
            <w:noWrap/>
            <w:vAlign w:val="center"/>
            <w:hideMark/>
          </w:tcPr>
          <w:p w14:paraId="675CCAD7"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4.3</w:t>
            </w:r>
          </w:p>
        </w:tc>
      </w:tr>
      <w:tr w:rsidR="0091036D" w:rsidRPr="002F5954" w14:paraId="1946D05A"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0CC1DDAE"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Napton on the Hill </w:t>
            </w:r>
          </w:p>
        </w:tc>
        <w:tc>
          <w:tcPr>
            <w:tcW w:w="1842" w:type="dxa"/>
            <w:noWrap/>
            <w:vAlign w:val="center"/>
            <w:hideMark/>
          </w:tcPr>
          <w:p w14:paraId="04621BD4"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17</w:t>
            </w:r>
          </w:p>
        </w:tc>
        <w:tc>
          <w:tcPr>
            <w:tcW w:w="1985" w:type="dxa"/>
            <w:noWrap/>
            <w:vAlign w:val="center"/>
            <w:hideMark/>
          </w:tcPr>
          <w:p w14:paraId="42D24FA9"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3.7</w:t>
            </w:r>
          </w:p>
        </w:tc>
      </w:tr>
      <w:tr w:rsidR="0091036D" w:rsidRPr="002F5954" w14:paraId="0FB72975"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4CB3CAE3"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Aston Cantlow </w:t>
            </w:r>
          </w:p>
        </w:tc>
        <w:tc>
          <w:tcPr>
            <w:tcW w:w="1842" w:type="dxa"/>
            <w:noWrap/>
            <w:vAlign w:val="center"/>
            <w:hideMark/>
          </w:tcPr>
          <w:p w14:paraId="287B372A"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29</w:t>
            </w:r>
          </w:p>
        </w:tc>
        <w:tc>
          <w:tcPr>
            <w:tcW w:w="1985" w:type="dxa"/>
            <w:noWrap/>
            <w:vAlign w:val="center"/>
            <w:hideMark/>
          </w:tcPr>
          <w:p w14:paraId="1A0011CA"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3.6</w:t>
            </w:r>
          </w:p>
        </w:tc>
      </w:tr>
      <w:tr w:rsidR="0091036D" w:rsidRPr="002F5954" w14:paraId="2CBE2886"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00BE3464"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Burton Dassett </w:t>
            </w:r>
          </w:p>
        </w:tc>
        <w:tc>
          <w:tcPr>
            <w:tcW w:w="1842" w:type="dxa"/>
            <w:noWrap/>
            <w:vAlign w:val="center"/>
            <w:hideMark/>
          </w:tcPr>
          <w:p w14:paraId="1BEC8D5D"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33</w:t>
            </w:r>
          </w:p>
        </w:tc>
        <w:tc>
          <w:tcPr>
            <w:tcW w:w="1985" w:type="dxa"/>
            <w:noWrap/>
            <w:vAlign w:val="center"/>
            <w:hideMark/>
          </w:tcPr>
          <w:p w14:paraId="5CF7E2A1"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3.4</w:t>
            </w:r>
          </w:p>
        </w:tc>
      </w:tr>
      <w:tr w:rsidR="0091036D" w:rsidRPr="002F5954" w14:paraId="72299552"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16255960"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Fenny Compton, Farnborough &amp; Avon Dassett </w:t>
            </w:r>
          </w:p>
        </w:tc>
        <w:tc>
          <w:tcPr>
            <w:tcW w:w="1842" w:type="dxa"/>
            <w:noWrap/>
            <w:vAlign w:val="center"/>
            <w:hideMark/>
          </w:tcPr>
          <w:p w14:paraId="31E2704C"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17</w:t>
            </w:r>
          </w:p>
        </w:tc>
        <w:tc>
          <w:tcPr>
            <w:tcW w:w="1985" w:type="dxa"/>
            <w:noWrap/>
            <w:vAlign w:val="center"/>
            <w:hideMark/>
          </w:tcPr>
          <w:p w14:paraId="56FAE4D5"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3.3</w:t>
            </w:r>
          </w:p>
        </w:tc>
      </w:tr>
      <w:tr w:rsidR="0091036D" w:rsidRPr="002F5954" w14:paraId="17D10203"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405251BE"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Quinton </w:t>
            </w:r>
          </w:p>
        </w:tc>
        <w:tc>
          <w:tcPr>
            <w:tcW w:w="1842" w:type="dxa"/>
            <w:noWrap/>
            <w:vAlign w:val="center"/>
            <w:hideMark/>
          </w:tcPr>
          <w:p w14:paraId="3116AFAE"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36</w:t>
            </w:r>
          </w:p>
        </w:tc>
        <w:tc>
          <w:tcPr>
            <w:tcW w:w="1985" w:type="dxa"/>
            <w:noWrap/>
            <w:vAlign w:val="center"/>
            <w:hideMark/>
          </w:tcPr>
          <w:p w14:paraId="4E5E6EE4"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3.3</w:t>
            </w:r>
          </w:p>
        </w:tc>
      </w:tr>
      <w:tr w:rsidR="0091036D" w:rsidRPr="002F5954" w14:paraId="633E3377"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4846F71E"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Studley South </w:t>
            </w:r>
          </w:p>
        </w:tc>
        <w:tc>
          <w:tcPr>
            <w:tcW w:w="1842" w:type="dxa"/>
            <w:noWrap/>
            <w:vAlign w:val="center"/>
            <w:hideMark/>
          </w:tcPr>
          <w:p w14:paraId="6583256B"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21</w:t>
            </w:r>
          </w:p>
        </w:tc>
        <w:tc>
          <w:tcPr>
            <w:tcW w:w="1985" w:type="dxa"/>
            <w:noWrap/>
            <w:vAlign w:val="center"/>
            <w:hideMark/>
          </w:tcPr>
          <w:p w14:paraId="733F6CCF"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3.2</w:t>
            </w:r>
          </w:p>
        </w:tc>
      </w:tr>
      <w:tr w:rsidR="0091036D" w:rsidRPr="002F5954" w14:paraId="6D47FA5B"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64493638"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Brailes </w:t>
            </w:r>
          </w:p>
        </w:tc>
        <w:tc>
          <w:tcPr>
            <w:tcW w:w="1842" w:type="dxa"/>
            <w:noWrap/>
            <w:vAlign w:val="center"/>
            <w:hideMark/>
          </w:tcPr>
          <w:p w14:paraId="67B1E1F3"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30</w:t>
            </w:r>
          </w:p>
        </w:tc>
        <w:tc>
          <w:tcPr>
            <w:tcW w:w="1985" w:type="dxa"/>
            <w:noWrap/>
            <w:vAlign w:val="center"/>
            <w:hideMark/>
          </w:tcPr>
          <w:p w14:paraId="2E361ECA"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3.2</w:t>
            </w:r>
          </w:p>
        </w:tc>
      </w:tr>
      <w:tr w:rsidR="0091036D" w:rsidRPr="002F5954" w14:paraId="1B09CE7E"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7D5C6021"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Shipston North </w:t>
            </w:r>
          </w:p>
        </w:tc>
        <w:tc>
          <w:tcPr>
            <w:tcW w:w="1842" w:type="dxa"/>
            <w:noWrap/>
            <w:vAlign w:val="center"/>
            <w:hideMark/>
          </w:tcPr>
          <w:p w14:paraId="5BE0C18E"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28</w:t>
            </w:r>
          </w:p>
        </w:tc>
        <w:tc>
          <w:tcPr>
            <w:tcW w:w="1985" w:type="dxa"/>
            <w:noWrap/>
            <w:vAlign w:val="center"/>
            <w:hideMark/>
          </w:tcPr>
          <w:p w14:paraId="586E5042"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3.2</w:t>
            </w:r>
          </w:p>
        </w:tc>
      </w:tr>
      <w:tr w:rsidR="0091036D" w:rsidRPr="002F5954" w14:paraId="1B6BFFA6"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hideMark/>
          </w:tcPr>
          <w:p w14:paraId="62437B6F" w14:textId="77777777" w:rsidR="0091036D" w:rsidRPr="002F5954" w:rsidRDefault="0091036D" w:rsidP="004E2B05">
            <w:pPr>
              <w:ind w:right="237"/>
              <w:rPr>
                <w:rFonts w:eastAsia="Times New Roman" w:cs="Arial"/>
                <w:sz w:val="20"/>
                <w:szCs w:val="20"/>
                <w:lang w:eastAsia="en-GB"/>
              </w:rPr>
            </w:pPr>
            <w:r w:rsidRPr="002F5954">
              <w:rPr>
                <w:rFonts w:cs="Calibri"/>
                <w:color w:val="000000"/>
                <w:sz w:val="20"/>
                <w:szCs w:val="20"/>
              </w:rPr>
              <w:t xml:space="preserve">Dunnington and Salford Priors </w:t>
            </w:r>
          </w:p>
        </w:tc>
        <w:tc>
          <w:tcPr>
            <w:tcW w:w="1842" w:type="dxa"/>
            <w:noWrap/>
            <w:vAlign w:val="center"/>
            <w:hideMark/>
          </w:tcPr>
          <w:p w14:paraId="51E32BFD"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19</w:t>
            </w:r>
          </w:p>
        </w:tc>
        <w:tc>
          <w:tcPr>
            <w:tcW w:w="1985" w:type="dxa"/>
            <w:noWrap/>
            <w:vAlign w:val="center"/>
            <w:hideMark/>
          </w:tcPr>
          <w:p w14:paraId="131B5A83"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3.1</w:t>
            </w:r>
          </w:p>
        </w:tc>
      </w:tr>
      <w:tr w:rsidR="0091036D" w:rsidRPr="002F5954" w14:paraId="5503440E"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tcPr>
          <w:p w14:paraId="4C9CF5D9" w14:textId="77777777" w:rsidR="0091036D" w:rsidRPr="002F5954" w:rsidRDefault="0091036D" w:rsidP="004E2B05">
            <w:pPr>
              <w:ind w:right="237"/>
              <w:rPr>
                <w:rFonts w:cs="Calibri"/>
                <w:color w:val="000000"/>
                <w:sz w:val="20"/>
                <w:szCs w:val="20"/>
              </w:rPr>
            </w:pPr>
            <w:r w:rsidRPr="002F5954">
              <w:rPr>
                <w:rFonts w:cs="Calibri"/>
                <w:color w:val="000000"/>
                <w:sz w:val="20"/>
                <w:szCs w:val="20"/>
              </w:rPr>
              <w:t xml:space="preserve">Vale of the Red Horse </w:t>
            </w:r>
          </w:p>
        </w:tc>
        <w:tc>
          <w:tcPr>
            <w:tcW w:w="1842" w:type="dxa"/>
            <w:noWrap/>
            <w:vAlign w:val="bottom"/>
          </w:tcPr>
          <w:p w14:paraId="3C90528F"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22</w:t>
            </w:r>
          </w:p>
        </w:tc>
        <w:tc>
          <w:tcPr>
            <w:tcW w:w="1985" w:type="dxa"/>
            <w:noWrap/>
            <w:vAlign w:val="bottom"/>
          </w:tcPr>
          <w:p w14:paraId="07BC11CB"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2.3</w:t>
            </w:r>
          </w:p>
        </w:tc>
      </w:tr>
      <w:tr w:rsidR="0091036D" w:rsidRPr="002F5954" w14:paraId="04D4C504"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tcPr>
          <w:p w14:paraId="7956A679" w14:textId="77777777" w:rsidR="0091036D" w:rsidRPr="002F5954" w:rsidRDefault="0091036D" w:rsidP="004E2B05">
            <w:pPr>
              <w:ind w:right="237"/>
              <w:rPr>
                <w:rFonts w:cs="Calibri"/>
                <w:color w:val="000000"/>
                <w:sz w:val="20"/>
                <w:szCs w:val="20"/>
              </w:rPr>
            </w:pPr>
            <w:r w:rsidRPr="002F5954">
              <w:rPr>
                <w:rFonts w:cs="Calibri"/>
                <w:color w:val="000000"/>
                <w:sz w:val="20"/>
                <w:szCs w:val="20"/>
              </w:rPr>
              <w:t xml:space="preserve">Alcester South, Arrow &amp; Weethley </w:t>
            </w:r>
          </w:p>
        </w:tc>
        <w:tc>
          <w:tcPr>
            <w:tcW w:w="1842" w:type="dxa"/>
            <w:noWrap/>
            <w:vAlign w:val="bottom"/>
          </w:tcPr>
          <w:p w14:paraId="0C3D648D"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F5954">
              <w:rPr>
                <w:rFonts w:cs="Calibri"/>
                <w:color w:val="000000"/>
                <w:sz w:val="20"/>
                <w:szCs w:val="20"/>
              </w:rPr>
              <w:t>18</w:t>
            </w:r>
          </w:p>
        </w:tc>
        <w:tc>
          <w:tcPr>
            <w:tcW w:w="1985" w:type="dxa"/>
            <w:noWrap/>
            <w:vAlign w:val="bottom"/>
          </w:tcPr>
          <w:p w14:paraId="2A471A9D"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F5954">
              <w:rPr>
                <w:rFonts w:cs="Calibri"/>
                <w:color w:val="000000"/>
                <w:sz w:val="20"/>
                <w:szCs w:val="20"/>
              </w:rPr>
              <w:t>2.2</w:t>
            </w:r>
          </w:p>
        </w:tc>
      </w:tr>
      <w:tr w:rsidR="0091036D" w:rsidRPr="002F5954" w14:paraId="34B0F44F"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tcPr>
          <w:p w14:paraId="7196E4F8" w14:textId="77777777" w:rsidR="0091036D" w:rsidRPr="002F5954" w:rsidRDefault="0091036D" w:rsidP="00706A76">
            <w:pPr>
              <w:ind w:left="0" w:right="238" w:firstLine="0"/>
              <w:rPr>
                <w:rFonts w:cs="Calibri"/>
                <w:color w:val="000000"/>
                <w:sz w:val="20"/>
                <w:szCs w:val="20"/>
              </w:rPr>
            </w:pPr>
            <w:r w:rsidRPr="002F5954">
              <w:rPr>
                <w:rFonts w:cs="Calibri"/>
                <w:color w:val="000000"/>
                <w:sz w:val="20"/>
                <w:szCs w:val="20"/>
              </w:rPr>
              <w:t xml:space="preserve">Newbold-on-Stour, Ilmington East &amp; Whitchurch </w:t>
            </w:r>
          </w:p>
        </w:tc>
        <w:tc>
          <w:tcPr>
            <w:tcW w:w="1842" w:type="dxa"/>
            <w:noWrap/>
            <w:vAlign w:val="bottom"/>
          </w:tcPr>
          <w:p w14:paraId="44DAF8FA"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10</w:t>
            </w:r>
          </w:p>
        </w:tc>
        <w:tc>
          <w:tcPr>
            <w:tcW w:w="1985" w:type="dxa"/>
            <w:noWrap/>
            <w:vAlign w:val="bottom"/>
          </w:tcPr>
          <w:p w14:paraId="1F8E6477"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2.2</w:t>
            </w:r>
          </w:p>
        </w:tc>
      </w:tr>
      <w:tr w:rsidR="0091036D" w:rsidRPr="002F5954" w14:paraId="5E8E52B3"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tcPr>
          <w:p w14:paraId="039954B1" w14:textId="77777777" w:rsidR="0091036D" w:rsidRPr="002F5954" w:rsidRDefault="0091036D" w:rsidP="004E2B05">
            <w:pPr>
              <w:ind w:right="237"/>
              <w:rPr>
                <w:rFonts w:cs="Calibri"/>
                <w:color w:val="000000"/>
                <w:sz w:val="20"/>
                <w:szCs w:val="20"/>
              </w:rPr>
            </w:pPr>
            <w:r w:rsidRPr="002F5954">
              <w:rPr>
                <w:rFonts w:cs="Calibri"/>
                <w:color w:val="000000"/>
                <w:sz w:val="20"/>
                <w:szCs w:val="20"/>
              </w:rPr>
              <w:t xml:space="preserve">Ettington </w:t>
            </w:r>
          </w:p>
        </w:tc>
        <w:tc>
          <w:tcPr>
            <w:tcW w:w="1842" w:type="dxa"/>
            <w:noWrap/>
            <w:vAlign w:val="bottom"/>
          </w:tcPr>
          <w:p w14:paraId="2C52C38C"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F5954">
              <w:rPr>
                <w:rFonts w:cs="Calibri"/>
                <w:color w:val="000000"/>
                <w:sz w:val="20"/>
                <w:szCs w:val="20"/>
              </w:rPr>
              <w:t>20</w:t>
            </w:r>
          </w:p>
        </w:tc>
        <w:tc>
          <w:tcPr>
            <w:tcW w:w="1985" w:type="dxa"/>
            <w:noWrap/>
            <w:vAlign w:val="bottom"/>
          </w:tcPr>
          <w:p w14:paraId="7E24A301"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F5954">
              <w:rPr>
                <w:rFonts w:cs="Calibri"/>
                <w:color w:val="000000"/>
                <w:sz w:val="20"/>
                <w:szCs w:val="20"/>
              </w:rPr>
              <w:t>2.1</w:t>
            </w:r>
          </w:p>
        </w:tc>
      </w:tr>
      <w:tr w:rsidR="0091036D" w:rsidRPr="002F5954" w14:paraId="7252ACFA"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tcPr>
          <w:p w14:paraId="15078841" w14:textId="77777777" w:rsidR="0091036D" w:rsidRPr="002F5954" w:rsidRDefault="0091036D" w:rsidP="004E2B05">
            <w:pPr>
              <w:ind w:right="237"/>
              <w:rPr>
                <w:rFonts w:cs="Calibri"/>
                <w:color w:val="000000"/>
                <w:sz w:val="20"/>
                <w:szCs w:val="20"/>
              </w:rPr>
            </w:pPr>
            <w:r w:rsidRPr="002F5954">
              <w:rPr>
                <w:rFonts w:cs="Calibri"/>
                <w:color w:val="000000"/>
                <w:sz w:val="20"/>
                <w:szCs w:val="20"/>
              </w:rPr>
              <w:t xml:space="preserve">Bidford West and Wixford </w:t>
            </w:r>
          </w:p>
        </w:tc>
        <w:tc>
          <w:tcPr>
            <w:tcW w:w="1842" w:type="dxa"/>
            <w:noWrap/>
            <w:vAlign w:val="bottom"/>
          </w:tcPr>
          <w:p w14:paraId="5D02D651"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15</w:t>
            </w:r>
          </w:p>
        </w:tc>
        <w:tc>
          <w:tcPr>
            <w:tcW w:w="1985" w:type="dxa"/>
            <w:noWrap/>
            <w:vAlign w:val="bottom"/>
          </w:tcPr>
          <w:p w14:paraId="50E4BDD0"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2.1</w:t>
            </w:r>
          </w:p>
        </w:tc>
      </w:tr>
      <w:tr w:rsidR="0091036D" w:rsidRPr="002F5954" w14:paraId="52B68FAB"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tcPr>
          <w:p w14:paraId="68C2D98B" w14:textId="77777777" w:rsidR="0091036D" w:rsidRPr="002F5954" w:rsidRDefault="0091036D" w:rsidP="004E2B05">
            <w:pPr>
              <w:ind w:right="237"/>
              <w:rPr>
                <w:rFonts w:cs="Calibri"/>
                <w:color w:val="000000"/>
                <w:sz w:val="20"/>
                <w:szCs w:val="20"/>
              </w:rPr>
            </w:pPr>
            <w:r w:rsidRPr="002F5954">
              <w:rPr>
                <w:rFonts w:cs="Calibri"/>
                <w:color w:val="000000"/>
                <w:sz w:val="20"/>
                <w:szCs w:val="20"/>
              </w:rPr>
              <w:t xml:space="preserve">Alcester East &amp; Island </w:t>
            </w:r>
          </w:p>
        </w:tc>
        <w:tc>
          <w:tcPr>
            <w:tcW w:w="1842" w:type="dxa"/>
            <w:noWrap/>
            <w:vAlign w:val="bottom"/>
          </w:tcPr>
          <w:p w14:paraId="1620AAE6"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F5954">
              <w:rPr>
                <w:rFonts w:cs="Calibri"/>
                <w:color w:val="000000"/>
                <w:sz w:val="20"/>
                <w:szCs w:val="20"/>
              </w:rPr>
              <w:t>14</w:t>
            </w:r>
          </w:p>
        </w:tc>
        <w:tc>
          <w:tcPr>
            <w:tcW w:w="1985" w:type="dxa"/>
            <w:noWrap/>
            <w:vAlign w:val="bottom"/>
          </w:tcPr>
          <w:p w14:paraId="7E4907A0"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F5954">
              <w:rPr>
                <w:rFonts w:cs="Calibri"/>
                <w:color w:val="000000"/>
                <w:sz w:val="20"/>
                <w:szCs w:val="20"/>
              </w:rPr>
              <w:t>2.1</w:t>
            </w:r>
          </w:p>
        </w:tc>
      </w:tr>
      <w:tr w:rsidR="0091036D" w:rsidRPr="002F5954" w14:paraId="617C5D66"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tcPr>
          <w:p w14:paraId="40B2676A" w14:textId="77777777" w:rsidR="0091036D" w:rsidRPr="002F5954" w:rsidRDefault="0091036D" w:rsidP="004E2B05">
            <w:pPr>
              <w:ind w:right="237"/>
              <w:rPr>
                <w:rFonts w:cs="Calibri"/>
                <w:color w:val="000000"/>
                <w:sz w:val="20"/>
                <w:szCs w:val="20"/>
              </w:rPr>
            </w:pPr>
            <w:r w:rsidRPr="002F5954">
              <w:rPr>
                <w:rFonts w:cs="Calibri"/>
                <w:color w:val="000000"/>
                <w:sz w:val="20"/>
                <w:szCs w:val="20"/>
              </w:rPr>
              <w:t xml:space="preserve">Tanworth </w:t>
            </w:r>
          </w:p>
        </w:tc>
        <w:tc>
          <w:tcPr>
            <w:tcW w:w="1842" w:type="dxa"/>
            <w:noWrap/>
            <w:vAlign w:val="bottom"/>
          </w:tcPr>
          <w:p w14:paraId="1736349D"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15</w:t>
            </w:r>
          </w:p>
        </w:tc>
        <w:tc>
          <w:tcPr>
            <w:tcW w:w="1985" w:type="dxa"/>
            <w:noWrap/>
            <w:vAlign w:val="bottom"/>
          </w:tcPr>
          <w:p w14:paraId="158D1C1E"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2</w:t>
            </w:r>
          </w:p>
        </w:tc>
      </w:tr>
      <w:tr w:rsidR="0091036D" w:rsidRPr="002F5954" w14:paraId="66AB0B46"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tcPr>
          <w:p w14:paraId="7B17FC3A" w14:textId="77777777" w:rsidR="0091036D" w:rsidRPr="002F5954" w:rsidRDefault="0091036D" w:rsidP="004E2B05">
            <w:pPr>
              <w:ind w:right="237"/>
              <w:rPr>
                <w:rFonts w:cs="Calibri"/>
                <w:color w:val="000000"/>
                <w:sz w:val="20"/>
                <w:szCs w:val="20"/>
              </w:rPr>
            </w:pPr>
            <w:r w:rsidRPr="002F5954">
              <w:rPr>
                <w:rFonts w:cs="Calibri"/>
                <w:color w:val="000000"/>
                <w:sz w:val="20"/>
                <w:szCs w:val="20"/>
              </w:rPr>
              <w:t xml:space="preserve">Lighthorne &amp; Lighthorne Heath </w:t>
            </w:r>
          </w:p>
        </w:tc>
        <w:tc>
          <w:tcPr>
            <w:tcW w:w="1842" w:type="dxa"/>
            <w:noWrap/>
            <w:vAlign w:val="bottom"/>
          </w:tcPr>
          <w:p w14:paraId="623425AB"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F5954">
              <w:rPr>
                <w:rFonts w:cs="Calibri"/>
                <w:color w:val="000000"/>
                <w:sz w:val="20"/>
                <w:szCs w:val="20"/>
              </w:rPr>
              <w:t>11</w:t>
            </w:r>
          </w:p>
        </w:tc>
        <w:tc>
          <w:tcPr>
            <w:tcW w:w="1985" w:type="dxa"/>
            <w:noWrap/>
            <w:vAlign w:val="bottom"/>
          </w:tcPr>
          <w:p w14:paraId="059600D8" w14:textId="77777777" w:rsidR="0091036D" w:rsidRPr="002F5954" w:rsidRDefault="0091036D" w:rsidP="00706A76">
            <w:pPr>
              <w:ind w:right="238" w:firstLine="0"/>
              <w:jc w:val="left"/>
              <w:cnfStyle w:val="000000100000" w:firstRow="0" w:lastRow="0" w:firstColumn="0" w:lastColumn="0" w:oddVBand="0" w:evenVBand="0" w:oddHBand="1" w:evenHBand="0" w:firstRowFirstColumn="0" w:firstRowLastColumn="0" w:lastRowFirstColumn="0" w:lastRowLastColumn="0"/>
              <w:rPr>
                <w:rFonts w:cs="Calibri"/>
                <w:color w:val="000000"/>
                <w:sz w:val="20"/>
                <w:szCs w:val="20"/>
              </w:rPr>
            </w:pPr>
            <w:r w:rsidRPr="002F5954">
              <w:rPr>
                <w:rFonts w:cs="Calibri"/>
                <w:color w:val="000000"/>
                <w:sz w:val="20"/>
                <w:szCs w:val="20"/>
              </w:rPr>
              <w:t>2</w:t>
            </w:r>
          </w:p>
        </w:tc>
      </w:tr>
      <w:tr w:rsidR="0091036D" w:rsidRPr="002F5954" w14:paraId="5F8B736D"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949" w:type="dxa"/>
            <w:noWrap/>
            <w:vAlign w:val="bottom"/>
          </w:tcPr>
          <w:p w14:paraId="4ADC6E18" w14:textId="77777777" w:rsidR="0091036D" w:rsidRPr="002F5954" w:rsidRDefault="0091036D" w:rsidP="004E2B05">
            <w:pPr>
              <w:ind w:right="237"/>
              <w:rPr>
                <w:rFonts w:cs="Calibri"/>
                <w:color w:val="000000"/>
                <w:sz w:val="20"/>
                <w:szCs w:val="20"/>
              </w:rPr>
            </w:pPr>
            <w:r w:rsidRPr="002F5954">
              <w:rPr>
                <w:rFonts w:cs="Calibri"/>
                <w:color w:val="000000"/>
                <w:sz w:val="20"/>
                <w:szCs w:val="20"/>
              </w:rPr>
              <w:t xml:space="preserve">Alveston Hill and Rural </w:t>
            </w:r>
          </w:p>
        </w:tc>
        <w:tc>
          <w:tcPr>
            <w:tcW w:w="1842" w:type="dxa"/>
            <w:noWrap/>
            <w:vAlign w:val="bottom"/>
          </w:tcPr>
          <w:p w14:paraId="05787D9E"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9</w:t>
            </w:r>
          </w:p>
        </w:tc>
        <w:tc>
          <w:tcPr>
            <w:tcW w:w="1985" w:type="dxa"/>
            <w:noWrap/>
            <w:vAlign w:val="bottom"/>
          </w:tcPr>
          <w:p w14:paraId="7A77C347" w14:textId="77777777" w:rsidR="0091036D" w:rsidRPr="002F5954" w:rsidRDefault="0091036D" w:rsidP="00706A76">
            <w:pPr>
              <w:ind w:right="238" w:firstLine="0"/>
              <w:jc w:val="left"/>
              <w:cnfStyle w:val="000000000000" w:firstRow="0" w:lastRow="0" w:firstColumn="0" w:lastColumn="0" w:oddVBand="0" w:evenVBand="0" w:oddHBand="0" w:evenHBand="0" w:firstRowFirstColumn="0" w:firstRowLastColumn="0" w:lastRowFirstColumn="0" w:lastRowLastColumn="0"/>
              <w:rPr>
                <w:rFonts w:cs="Calibri"/>
                <w:color w:val="000000"/>
                <w:sz w:val="20"/>
                <w:szCs w:val="20"/>
              </w:rPr>
            </w:pPr>
            <w:r w:rsidRPr="002F5954">
              <w:rPr>
                <w:rFonts w:cs="Calibri"/>
                <w:color w:val="000000"/>
                <w:sz w:val="20"/>
                <w:szCs w:val="20"/>
              </w:rPr>
              <w:t>2</w:t>
            </w:r>
          </w:p>
        </w:tc>
      </w:tr>
    </w:tbl>
    <w:p w14:paraId="2AE5C26F" w14:textId="77777777" w:rsidR="00072B7D" w:rsidRPr="00E34836" w:rsidRDefault="00072B7D" w:rsidP="0091036D">
      <w:pPr>
        <w:pStyle w:val="ListParagraph"/>
        <w:ind w:left="1080" w:firstLine="0"/>
        <w:rPr>
          <w:sz w:val="22"/>
          <w:szCs w:val="22"/>
          <w:lang w:eastAsia="en-GB"/>
        </w:rPr>
      </w:pPr>
    </w:p>
    <w:p w14:paraId="3DC6F25D" w14:textId="138F2361" w:rsidR="00C119C7" w:rsidRPr="0019692F" w:rsidRDefault="00C119C7" w:rsidP="00F8060C">
      <w:pPr>
        <w:pStyle w:val="ListParagraph"/>
        <w:numPr>
          <w:ilvl w:val="1"/>
          <w:numId w:val="20"/>
        </w:numPr>
        <w:contextualSpacing w:val="0"/>
        <w:jc w:val="left"/>
        <w:rPr>
          <w:b/>
          <w:bCs/>
          <w:i/>
          <w:iCs/>
          <w:sz w:val="22"/>
          <w:szCs w:val="22"/>
          <w:lang w:eastAsia="en-GB"/>
        </w:rPr>
      </w:pPr>
      <w:r w:rsidRPr="0019692F">
        <w:rPr>
          <w:b/>
          <w:bCs/>
          <w:i/>
          <w:iCs/>
          <w:sz w:val="22"/>
          <w:szCs w:val="22"/>
          <w:lang w:eastAsia="en-GB"/>
        </w:rPr>
        <w:t>Lone Parent Households</w:t>
      </w:r>
    </w:p>
    <w:p w14:paraId="6D74EF34" w14:textId="79BC6FB7" w:rsidR="005174E2" w:rsidRPr="00F8060C" w:rsidRDefault="00514DF2" w:rsidP="00F8060C">
      <w:pPr>
        <w:pStyle w:val="ListParagraph"/>
        <w:numPr>
          <w:ilvl w:val="3"/>
          <w:numId w:val="20"/>
        </w:numPr>
        <w:ind w:left="709" w:right="421" w:hanging="709"/>
        <w:contextualSpacing w:val="0"/>
        <w:jc w:val="left"/>
        <w:rPr>
          <w:sz w:val="22"/>
          <w:szCs w:val="22"/>
          <w:lang w:eastAsia="en-GB"/>
        </w:rPr>
      </w:pPr>
      <w:r w:rsidRPr="007964D0">
        <w:rPr>
          <w:sz w:val="22"/>
          <w:szCs w:val="22"/>
          <w:lang w:eastAsia="en-GB"/>
        </w:rPr>
        <w:t xml:space="preserve">49% </w:t>
      </w:r>
      <w:r w:rsidR="00072B7D">
        <w:rPr>
          <w:sz w:val="22"/>
          <w:szCs w:val="22"/>
          <w:lang w:eastAsia="en-GB"/>
        </w:rPr>
        <w:t xml:space="preserve">of </w:t>
      </w:r>
      <w:r w:rsidRPr="007964D0">
        <w:rPr>
          <w:sz w:val="22"/>
          <w:szCs w:val="22"/>
          <w:lang w:eastAsia="en-GB"/>
        </w:rPr>
        <w:t>children who live in single-parent families live in poverty. Lone parents have the highest poverty rate of all working-age adults, with 43% living in poverty.</w:t>
      </w:r>
    </w:p>
    <w:p w14:paraId="3957F975" w14:textId="5DA023B4" w:rsidR="00C17454" w:rsidRPr="001027AC" w:rsidRDefault="005174E2" w:rsidP="00F8060C">
      <w:pPr>
        <w:pStyle w:val="ListParagraph"/>
        <w:numPr>
          <w:ilvl w:val="3"/>
          <w:numId w:val="20"/>
        </w:numPr>
        <w:ind w:left="709" w:right="421" w:hanging="709"/>
        <w:contextualSpacing w:val="0"/>
        <w:jc w:val="left"/>
        <w:rPr>
          <w:b/>
          <w:bCs/>
          <w:sz w:val="24"/>
          <w:szCs w:val="24"/>
          <w:lang w:eastAsia="en-GB"/>
        </w:rPr>
      </w:pPr>
      <w:r w:rsidRPr="00C17454">
        <w:rPr>
          <w:sz w:val="22"/>
          <w:szCs w:val="22"/>
        </w:rPr>
        <w:t>There was huge variability in the proportion of lone parent households by LSOA across the district, with percentages ranging from 1.6% households in Earlswood to 11.4% households in Alveston Hill &amp; Rural. Table 1</w:t>
      </w:r>
      <w:r w:rsidR="001E3DEB" w:rsidRPr="00C17454">
        <w:rPr>
          <w:sz w:val="22"/>
          <w:szCs w:val="22"/>
        </w:rPr>
        <w:t>3</w:t>
      </w:r>
      <w:r w:rsidRPr="00C17454">
        <w:rPr>
          <w:sz w:val="22"/>
          <w:szCs w:val="22"/>
        </w:rPr>
        <w:t xml:space="preserve"> shows the LSOAs which fell into the top 25% district LSOAs with the highest rates</w:t>
      </w:r>
      <w:r w:rsidR="00F8060C">
        <w:rPr>
          <w:sz w:val="22"/>
          <w:szCs w:val="22"/>
        </w:rPr>
        <w:t>.</w:t>
      </w:r>
    </w:p>
    <w:p w14:paraId="7D9F4D7B" w14:textId="77777777" w:rsidR="001027AC" w:rsidRDefault="001027AC" w:rsidP="001027AC">
      <w:pPr>
        <w:ind w:right="421"/>
        <w:jc w:val="left"/>
        <w:rPr>
          <w:b/>
          <w:bCs/>
          <w:sz w:val="24"/>
          <w:szCs w:val="24"/>
          <w:lang w:eastAsia="en-GB"/>
        </w:rPr>
      </w:pPr>
    </w:p>
    <w:p w14:paraId="724A733D" w14:textId="77777777" w:rsidR="001027AC" w:rsidRDefault="001027AC" w:rsidP="001027AC">
      <w:pPr>
        <w:ind w:right="421"/>
        <w:jc w:val="left"/>
        <w:rPr>
          <w:b/>
          <w:bCs/>
          <w:sz w:val="24"/>
          <w:szCs w:val="24"/>
          <w:lang w:eastAsia="en-GB"/>
        </w:rPr>
      </w:pPr>
    </w:p>
    <w:p w14:paraId="38020CC3" w14:textId="77777777" w:rsidR="001027AC" w:rsidRPr="001027AC" w:rsidRDefault="001027AC" w:rsidP="001027AC">
      <w:pPr>
        <w:ind w:right="421"/>
        <w:jc w:val="left"/>
        <w:rPr>
          <w:b/>
          <w:bCs/>
          <w:sz w:val="24"/>
          <w:szCs w:val="24"/>
          <w:lang w:eastAsia="en-GB"/>
        </w:rPr>
      </w:pPr>
    </w:p>
    <w:p w14:paraId="59D25836" w14:textId="38489FAC" w:rsidR="00490E32" w:rsidRPr="008D7D3E" w:rsidRDefault="00490E32" w:rsidP="008D7D3E">
      <w:pPr>
        <w:pStyle w:val="Caption"/>
        <w:keepNext/>
        <w:ind w:hanging="11"/>
        <w:rPr>
          <w:i w:val="0"/>
          <w:iCs w:val="0"/>
          <w:color w:val="auto"/>
          <w:sz w:val="22"/>
          <w:szCs w:val="22"/>
        </w:rPr>
      </w:pPr>
      <w:r w:rsidRPr="008D7D3E">
        <w:rPr>
          <w:i w:val="0"/>
          <w:iCs w:val="0"/>
          <w:color w:val="auto"/>
          <w:sz w:val="22"/>
          <w:szCs w:val="22"/>
        </w:rPr>
        <w:lastRenderedPageBreak/>
        <w:t xml:space="preserve">Table </w:t>
      </w:r>
      <w:r w:rsidR="00F61229" w:rsidRPr="008D7D3E">
        <w:rPr>
          <w:i w:val="0"/>
          <w:iCs w:val="0"/>
          <w:color w:val="auto"/>
          <w:sz w:val="22"/>
          <w:szCs w:val="22"/>
        </w:rPr>
        <w:fldChar w:fldCharType="begin"/>
      </w:r>
      <w:r w:rsidR="00F61229" w:rsidRPr="008D7D3E">
        <w:rPr>
          <w:i w:val="0"/>
          <w:iCs w:val="0"/>
          <w:color w:val="auto"/>
          <w:sz w:val="22"/>
          <w:szCs w:val="22"/>
        </w:rPr>
        <w:instrText xml:space="preserve"> SEQ Table \* ARABIC </w:instrText>
      </w:r>
      <w:r w:rsidR="00F61229" w:rsidRPr="008D7D3E">
        <w:rPr>
          <w:i w:val="0"/>
          <w:iCs w:val="0"/>
          <w:color w:val="auto"/>
          <w:sz w:val="22"/>
          <w:szCs w:val="22"/>
        </w:rPr>
        <w:fldChar w:fldCharType="separate"/>
      </w:r>
      <w:r w:rsidR="00E94700" w:rsidRPr="008D7D3E">
        <w:rPr>
          <w:i w:val="0"/>
          <w:iCs w:val="0"/>
          <w:noProof/>
          <w:color w:val="auto"/>
          <w:sz w:val="22"/>
          <w:szCs w:val="22"/>
        </w:rPr>
        <w:t>14</w:t>
      </w:r>
      <w:r w:rsidR="00F61229" w:rsidRPr="008D7D3E">
        <w:rPr>
          <w:i w:val="0"/>
          <w:iCs w:val="0"/>
          <w:noProof/>
          <w:color w:val="auto"/>
          <w:sz w:val="22"/>
          <w:szCs w:val="22"/>
        </w:rPr>
        <w:fldChar w:fldCharType="end"/>
      </w:r>
    </w:p>
    <w:tbl>
      <w:tblPr>
        <w:tblStyle w:val="GridTable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1843"/>
        <w:gridCol w:w="1984"/>
      </w:tblGrid>
      <w:tr w:rsidR="00490E32" w:rsidRPr="002F5954" w14:paraId="5D70CD00" w14:textId="77777777" w:rsidTr="00072B7D">
        <w:trPr>
          <w:cnfStyle w:val="100000000000" w:firstRow="1" w:lastRow="0" w:firstColumn="0" w:lastColumn="0" w:oddVBand="0" w:evenVBand="0" w:oddHBand="0" w:evenHBand="0" w:firstRowFirstColumn="0" w:firstRowLastColumn="0" w:lastRowFirstColumn="0" w:lastRowLastColumn="0"/>
          <w:trHeight w:val="907"/>
        </w:trPr>
        <w:tc>
          <w:tcPr>
            <w:cnfStyle w:val="001000000000" w:firstRow="0" w:lastRow="0" w:firstColumn="1" w:lastColumn="0" w:oddVBand="0" w:evenVBand="0" w:oddHBand="0" w:evenHBand="0" w:firstRowFirstColumn="0" w:firstRowLastColumn="0" w:lastRowFirstColumn="0" w:lastRowLastColumn="0"/>
            <w:tcW w:w="5382" w:type="dxa"/>
            <w:tcBorders>
              <w:top w:val="none" w:sz="0" w:space="0" w:color="auto"/>
              <w:bottom w:val="none" w:sz="0" w:space="0" w:color="auto"/>
              <w:right w:val="none" w:sz="0" w:space="0" w:color="auto"/>
            </w:tcBorders>
            <w:noWrap/>
            <w:vAlign w:val="center"/>
            <w:hideMark/>
          </w:tcPr>
          <w:p w14:paraId="67DEAFD4" w14:textId="77777777" w:rsidR="00490E32" w:rsidRPr="002F5954" w:rsidRDefault="00490E32" w:rsidP="00E761A1">
            <w:pPr>
              <w:jc w:val="left"/>
              <w:rPr>
                <w:b w:val="0"/>
                <w:color w:val="1F497D" w:themeColor="text2"/>
                <w:sz w:val="20"/>
                <w:szCs w:val="20"/>
              </w:rPr>
            </w:pPr>
            <w:r w:rsidRPr="002F5954">
              <w:rPr>
                <w:color w:val="1F497D" w:themeColor="text2"/>
                <w:sz w:val="20"/>
                <w:szCs w:val="20"/>
              </w:rPr>
              <w:t> Lower Super Output Area</w:t>
            </w:r>
          </w:p>
        </w:tc>
        <w:tc>
          <w:tcPr>
            <w:tcW w:w="1843" w:type="dxa"/>
            <w:tcBorders>
              <w:top w:val="none" w:sz="0" w:space="0" w:color="auto"/>
              <w:left w:val="none" w:sz="0" w:space="0" w:color="auto"/>
              <w:bottom w:val="none" w:sz="0" w:space="0" w:color="auto"/>
              <w:right w:val="none" w:sz="0" w:space="0" w:color="auto"/>
            </w:tcBorders>
            <w:vAlign w:val="center"/>
            <w:hideMark/>
          </w:tcPr>
          <w:p w14:paraId="650C3E11" w14:textId="328BDDDC" w:rsidR="00490E32" w:rsidRPr="00E761A1" w:rsidRDefault="00490E32" w:rsidP="00072B7D">
            <w:pPr>
              <w:ind w:left="0" w:firstLine="0"/>
              <w:jc w:val="center"/>
              <w:cnfStyle w:val="100000000000" w:firstRow="1" w:lastRow="0" w:firstColumn="0" w:lastColumn="0" w:oddVBand="0" w:evenVBand="0" w:oddHBand="0" w:evenHBand="0" w:firstRowFirstColumn="0" w:firstRowLastColumn="0" w:lastRowFirstColumn="0" w:lastRowLastColumn="0"/>
              <w:rPr>
                <w:bCs w:val="0"/>
                <w:color w:val="1F497D" w:themeColor="text2"/>
                <w:sz w:val="16"/>
                <w:szCs w:val="16"/>
              </w:rPr>
            </w:pPr>
            <w:r w:rsidRPr="00E761A1">
              <w:rPr>
                <w:color w:val="1F497D" w:themeColor="text2"/>
                <w:sz w:val="16"/>
                <w:szCs w:val="16"/>
              </w:rPr>
              <w:t xml:space="preserve">Number of </w:t>
            </w:r>
            <w:r w:rsidRPr="00E761A1">
              <w:rPr>
                <w:bCs w:val="0"/>
                <w:color w:val="1F497D" w:themeColor="text2"/>
                <w:sz w:val="16"/>
                <w:szCs w:val="16"/>
              </w:rPr>
              <w:t xml:space="preserve">lone parent </w:t>
            </w:r>
            <w:r w:rsidRPr="00E761A1">
              <w:rPr>
                <w:color w:val="1F497D" w:themeColor="text2"/>
                <w:sz w:val="16"/>
                <w:szCs w:val="16"/>
              </w:rPr>
              <w:t>households</w:t>
            </w:r>
          </w:p>
        </w:tc>
        <w:tc>
          <w:tcPr>
            <w:tcW w:w="1984" w:type="dxa"/>
            <w:tcBorders>
              <w:top w:val="none" w:sz="0" w:space="0" w:color="auto"/>
              <w:left w:val="none" w:sz="0" w:space="0" w:color="auto"/>
              <w:bottom w:val="none" w:sz="0" w:space="0" w:color="auto"/>
            </w:tcBorders>
            <w:vAlign w:val="center"/>
            <w:hideMark/>
          </w:tcPr>
          <w:p w14:paraId="21B5FB27" w14:textId="77777777" w:rsidR="00490E32" w:rsidRPr="00E761A1" w:rsidRDefault="00490E32" w:rsidP="00072B7D">
            <w:pPr>
              <w:ind w:left="0" w:firstLine="0"/>
              <w:jc w:val="center"/>
              <w:cnfStyle w:val="100000000000" w:firstRow="1" w:lastRow="0" w:firstColumn="0" w:lastColumn="0" w:oddVBand="0" w:evenVBand="0" w:oddHBand="0" w:evenHBand="0" w:firstRowFirstColumn="0" w:firstRowLastColumn="0" w:lastRowFirstColumn="0" w:lastRowLastColumn="0"/>
              <w:rPr>
                <w:b w:val="0"/>
                <w:bCs w:val="0"/>
                <w:color w:val="1F497D" w:themeColor="text2"/>
                <w:sz w:val="16"/>
                <w:szCs w:val="16"/>
              </w:rPr>
            </w:pPr>
            <w:r w:rsidRPr="00E761A1">
              <w:rPr>
                <w:color w:val="1F497D" w:themeColor="text2"/>
                <w:sz w:val="16"/>
                <w:szCs w:val="16"/>
              </w:rPr>
              <w:t xml:space="preserve">Proportion of </w:t>
            </w:r>
            <w:r w:rsidRPr="00E761A1">
              <w:rPr>
                <w:bCs w:val="0"/>
                <w:color w:val="1F497D" w:themeColor="text2"/>
                <w:sz w:val="16"/>
                <w:szCs w:val="16"/>
              </w:rPr>
              <w:t xml:space="preserve">lone parent </w:t>
            </w:r>
            <w:r w:rsidRPr="00E761A1">
              <w:rPr>
                <w:color w:val="1F497D" w:themeColor="text2"/>
                <w:sz w:val="16"/>
                <w:szCs w:val="16"/>
              </w:rPr>
              <w:t>households (%)</w:t>
            </w:r>
          </w:p>
        </w:tc>
      </w:tr>
      <w:tr w:rsidR="00490E32" w:rsidRPr="002F5954" w14:paraId="3B832FE2"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4B755DEE"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Alveston Hill and Rural </w:t>
            </w:r>
          </w:p>
        </w:tc>
        <w:tc>
          <w:tcPr>
            <w:tcW w:w="1843" w:type="dxa"/>
            <w:noWrap/>
            <w:vAlign w:val="center"/>
            <w:hideMark/>
          </w:tcPr>
          <w:p w14:paraId="70A140A2" w14:textId="357A3112" w:rsidR="00490E32" w:rsidRPr="002F5954" w:rsidRDefault="00490E32" w:rsidP="00E761A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52</w:t>
            </w:r>
          </w:p>
        </w:tc>
        <w:tc>
          <w:tcPr>
            <w:tcW w:w="1984" w:type="dxa"/>
            <w:noWrap/>
            <w:vAlign w:val="center"/>
            <w:hideMark/>
          </w:tcPr>
          <w:p w14:paraId="75398A7F" w14:textId="77777777" w:rsidR="00490E32" w:rsidRPr="002F5954" w:rsidRDefault="00490E32" w:rsidP="00E761A1">
            <w:pPr>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11.4</w:t>
            </w:r>
          </w:p>
        </w:tc>
      </w:tr>
      <w:tr w:rsidR="00490E32" w:rsidRPr="002F5954" w14:paraId="089D723D"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32D0D3C9"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Alcester North &amp; Conway </w:t>
            </w:r>
          </w:p>
        </w:tc>
        <w:tc>
          <w:tcPr>
            <w:tcW w:w="1843" w:type="dxa"/>
            <w:noWrap/>
            <w:hideMark/>
          </w:tcPr>
          <w:p w14:paraId="105981F7"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59</w:t>
            </w:r>
          </w:p>
        </w:tc>
        <w:tc>
          <w:tcPr>
            <w:tcW w:w="1984" w:type="dxa"/>
            <w:noWrap/>
            <w:hideMark/>
          </w:tcPr>
          <w:p w14:paraId="54DBA032"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9.4</w:t>
            </w:r>
          </w:p>
        </w:tc>
      </w:tr>
      <w:tr w:rsidR="00490E32" w:rsidRPr="002F5954" w14:paraId="1E6AE71B"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1B3439FF"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Southam West </w:t>
            </w:r>
          </w:p>
        </w:tc>
        <w:tc>
          <w:tcPr>
            <w:tcW w:w="1843" w:type="dxa"/>
            <w:noWrap/>
            <w:hideMark/>
          </w:tcPr>
          <w:p w14:paraId="3DA1A914"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64</w:t>
            </w:r>
          </w:p>
        </w:tc>
        <w:tc>
          <w:tcPr>
            <w:tcW w:w="1984" w:type="dxa"/>
            <w:noWrap/>
            <w:hideMark/>
          </w:tcPr>
          <w:p w14:paraId="7DE03C01"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9.2</w:t>
            </w:r>
          </w:p>
        </w:tc>
      </w:tr>
      <w:tr w:rsidR="00490E32" w:rsidRPr="002F5954" w14:paraId="40549707"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0630AA4A"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Southam East </w:t>
            </w:r>
          </w:p>
        </w:tc>
        <w:tc>
          <w:tcPr>
            <w:tcW w:w="1843" w:type="dxa"/>
            <w:noWrap/>
            <w:hideMark/>
          </w:tcPr>
          <w:p w14:paraId="14018432"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59</w:t>
            </w:r>
          </w:p>
        </w:tc>
        <w:tc>
          <w:tcPr>
            <w:tcW w:w="1984" w:type="dxa"/>
            <w:noWrap/>
            <w:hideMark/>
          </w:tcPr>
          <w:p w14:paraId="19392531"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9.2</w:t>
            </w:r>
          </w:p>
        </w:tc>
      </w:tr>
      <w:tr w:rsidR="00490E32" w:rsidRPr="002F5954" w14:paraId="35FAAC65"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0832B34D"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Bidford East, Waterloo &amp; Broom </w:t>
            </w:r>
          </w:p>
        </w:tc>
        <w:tc>
          <w:tcPr>
            <w:tcW w:w="1843" w:type="dxa"/>
            <w:noWrap/>
            <w:hideMark/>
          </w:tcPr>
          <w:p w14:paraId="1C153697"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56</w:t>
            </w:r>
          </w:p>
        </w:tc>
        <w:tc>
          <w:tcPr>
            <w:tcW w:w="1984" w:type="dxa"/>
            <w:noWrap/>
            <w:hideMark/>
          </w:tcPr>
          <w:p w14:paraId="74DBF95F"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8.4</w:t>
            </w:r>
          </w:p>
        </w:tc>
      </w:tr>
      <w:tr w:rsidR="00490E32" w:rsidRPr="002F5954" w14:paraId="734A0AA4"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6CB47455"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Bridgetown South East </w:t>
            </w:r>
          </w:p>
        </w:tc>
        <w:tc>
          <w:tcPr>
            <w:tcW w:w="1843" w:type="dxa"/>
            <w:noWrap/>
            <w:hideMark/>
          </w:tcPr>
          <w:p w14:paraId="61DFD252"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45</w:t>
            </w:r>
          </w:p>
        </w:tc>
        <w:tc>
          <w:tcPr>
            <w:tcW w:w="1984" w:type="dxa"/>
            <w:noWrap/>
            <w:hideMark/>
          </w:tcPr>
          <w:p w14:paraId="62946DED"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8.2</w:t>
            </w:r>
          </w:p>
        </w:tc>
      </w:tr>
      <w:tr w:rsidR="00490E32" w:rsidRPr="002F5954" w14:paraId="15980472"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7A8724D8"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Maybird </w:t>
            </w:r>
          </w:p>
        </w:tc>
        <w:tc>
          <w:tcPr>
            <w:tcW w:w="1843" w:type="dxa"/>
            <w:noWrap/>
            <w:hideMark/>
          </w:tcPr>
          <w:p w14:paraId="2D9D68A2"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84</w:t>
            </w:r>
          </w:p>
        </w:tc>
        <w:tc>
          <w:tcPr>
            <w:tcW w:w="1984" w:type="dxa"/>
            <w:noWrap/>
            <w:hideMark/>
          </w:tcPr>
          <w:p w14:paraId="0AC3D390"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8.2</w:t>
            </w:r>
          </w:p>
        </w:tc>
      </w:tr>
      <w:tr w:rsidR="00490E32" w:rsidRPr="002F5954" w14:paraId="0C44A941"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03EF47AF"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Long Itchington East </w:t>
            </w:r>
          </w:p>
        </w:tc>
        <w:tc>
          <w:tcPr>
            <w:tcW w:w="1843" w:type="dxa"/>
            <w:noWrap/>
            <w:hideMark/>
          </w:tcPr>
          <w:p w14:paraId="0D9DB5E1"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35</w:t>
            </w:r>
          </w:p>
        </w:tc>
        <w:tc>
          <w:tcPr>
            <w:tcW w:w="1984" w:type="dxa"/>
            <w:noWrap/>
            <w:hideMark/>
          </w:tcPr>
          <w:p w14:paraId="76574024"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7.8</w:t>
            </w:r>
          </w:p>
        </w:tc>
      </w:tr>
      <w:tr w:rsidR="00490E32" w:rsidRPr="002F5954" w14:paraId="2F2BCD0A"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411DE5F9"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The Avenue </w:t>
            </w:r>
          </w:p>
        </w:tc>
        <w:tc>
          <w:tcPr>
            <w:tcW w:w="1843" w:type="dxa"/>
            <w:noWrap/>
            <w:hideMark/>
          </w:tcPr>
          <w:p w14:paraId="330C669D"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75</w:t>
            </w:r>
          </w:p>
        </w:tc>
        <w:tc>
          <w:tcPr>
            <w:tcW w:w="1984" w:type="dxa"/>
            <w:noWrap/>
            <w:hideMark/>
          </w:tcPr>
          <w:p w14:paraId="7DC950C0"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7.7</w:t>
            </w:r>
          </w:p>
        </w:tc>
      </w:tr>
      <w:tr w:rsidR="00490E32" w:rsidRPr="002F5954" w14:paraId="49EF09FD"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3E65B2B4"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Studley North </w:t>
            </w:r>
          </w:p>
        </w:tc>
        <w:tc>
          <w:tcPr>
            <w:tcW w:w="1843" w:type="dxa"/>
            <w:noWrap/>
            <w:hideMark/>
          </w:tcPr>
          <w:p w14:paraId="5E857476"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43</w:t>
            </w:r>
          </w:p>
        </w:tc>
        <w:tc>
          <w:tcPr>
            <w:tcW w:w="1984" w:type="dxa"/>
            <w:noWrap/>
            <w:hideMark/>
          </w:tcPr>
          <w:p w14:paraId="40D1C13D"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7.4</w:t>
            </w:r>
          </w:p>
        </w:tc>
      </w:tr>
      <w:tr w:rsidR="00490E32" w:rsidRPr="002F5954" w14:paraId="2FCD20AE"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725F1E07"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Bishopton </w:t>
            </w:r>
          </w:p>
        </w:tc>
        <w:tc>
          <w:tcPr>
            <w:tcW w:w="1843" w:type="dxa"/>
            <w:noWrap/>
            <w:hideMark/>
          </w:tcPr>
          <w:p w14:paraId="460FDAB1"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46</w:t>
            </w:r>
          </w:p>
        </w:tc>
        <w:tc>
          <w:tcPr>
            <w:tcW w:w="1984" w:type="dxa"/>
            <w:noWrap/>
            <w:hideMark/>
          </w:tcPr>
          <w:p w14:paraId="6945A4B8"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7.1</w:t>
            </w:r>
          </w:p>
        </w:tc>
      </w:tr>
      <w:tr w:rsidR="00490E32" w:rsidRPr="002F5954" w14:paraId="059F8122"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6B6B7406"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Studley West &amp; Common </w:t>
            </w:r>
          </w:p>
        </w:tc>
        <w:tc>
          <w:tcPr>
            <w:tcW w:w="1843" w:type="dxa"/>
            <w:noWrap/>
            <w:hideMark/>
          </w:tcPr>
          <w:p w14:paraId="144EE898"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42</w:t>
            </w:r>
          </w:p>
        </w:tc>
        <w:tc>
          <w:tcPr>
            <w:tcW w:w="1984" w:type="dxa"/>
            <w:noWrap/>
            <w:hideMark/>
          </w:tcPr>
          <w:p w14:paraId="323DBD9A"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7.1</w:t>
            </w:r>
          </w:p>
        </w:tc>
      </w:tr>
      <w:tr w:rsidR="00490E32" w:rsidRPr="002F5954" w14:paraId="07562629"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5329B411"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Alcester East &amp; Island </w:t>
            </w:r>
          </w:p>
        </w:tc>
        <w:tc>
          <w:tcPr>
            <w:tcW w:w="1843" w:type="dxa"/>
            <w:noWrap/>
            <w:hideMark/>
          </w:tcPr>
          <w:p w14:paraId="01EDCB4B"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47</w:t>
            </w:r>
          </w:p>
        </w:tc>
        <w:tc>
          <w:tcPr>
            <w:tcW w:w="1984" w:type="dxa"/>
            <w:noWrap/>
            <w:hideMark/>
          </w:tcPr>
          <w:p w14:paraId="1A9CAAEE"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7.1</w:t>
            </w:r>
          </w:p>
        </w:tc>
      </w:tr>
      <w:tr w:rsidR="00490E32" w:rsidRPr="002F5954" w14:paraId="5527F3A9"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0F02B822"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Wellesbourne West </w:t>
            </w:r>
          </w:p>
        </w:tc>
        <w:tc>
          <w:tcPr>
            <w:tcW w:w="1843" w:type="dxa"/>
            <w:noWrap/>
            <w:hideMark/>
          </w:tcPr>
          <w:p w14:paraId="765E9D88"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36</w:t>
            </w:r>
          </w:p>
        </w:tc>
        <w:tc>
          <w:tcPr>
            <w:tcW w:w="1984" w:type="dxa"/>
            <w:noWrap/>
            <w:hideMark/>
          </w:tcPr>
          <w:p w14:paraId="26CE588D"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7.1</w:t>
            </w:r>
          </w:p>
        </w:tc>
      </w:tr>
      <w:tr w:rsidR="00490E32" w:rsidRPr="002F5954" w14:paraId="57C6C995"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78BB7D72"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Quinton </w:t>
            </w:r>
          </w:p>
        </w:tc>
        <w:tc>
          <w:tcPr>
            <w:tcW w:w="1843" w:type="dxa"/>
            <w:noWrap/>
            <w:hideMark/>
          </w:tcPr>
          <w:p w14:paraId="4BC88390"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77</w:t>
            </w:r>
          </w:p>
        </w:tc>
        <w:tc>
          <w:tcPr>
            <w:tcW w:w="1984" w:type="dxa"/>
            <w:noWrap/>
            <w:hideMark/>
          </w:tcPr>
          <w:p w14:paraId="666BFC9C"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7.0</w:t>
            </w:r>
          </w:p>
        </w:tc>
      </w:tr>
      <w:tr w:rsidR="00490E32" w:rsidRPr="002F5954" w14:paraId="2D1DA12A"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00303BF7"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Studley South </w:t>
            </w:r>
          </w:p>
        </w:tc>
        <w:tc>
          <w:tcPr>
            <w:tcW w:w="1843" w:type="dxa"/>
            <w:noWrap/>
            <w:hideMark/>
          </w:tcPr>
          <w:p w14:paraId="5579163F"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44</w:t>
            </w:r>
          </w:p>
        </w:tc>
        <w:tc>
          <w:tcPr>
            <w:tcW w:w="1984" w:type="dxa"/>
            <w:noWrap/>
            <w:hideMark/>
          </w:tcPr>
          <w:p w14:paraId="21574C7A"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6.7</w:t>
            </w:r>
          </w:p>
        </w:tc>
      </w:tr>
      <w:tr w:rsidR="00490E32" w:rsidRPr="002F5954" w14:paraId="1999795F"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64BC8E9D"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Lighthorne &amp; Lighthorne Heath </w:t>
            </w:r>
          </w:p>
        </w:tc>
        <w:tc>
          <w:tcPr>
            <w:tcW w:w="1843" w:type="dxa"/>
            <w:noWrap/>
            <w:hideMark/>
          </w:tcPr>
          <w:p w14:paraId="30B80C61"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36</w:t>
            </w:r>
          </w:p>
        </w:tc>
        <w:tc>
          <w:tcPr>
            <w:tcW w:w="1984" w:type="dxa"/>
            <w:noWrap/>
            <w:hideMark/>
          </w:tcPr>
          <w:p w14:paraId="1FBFBBEF"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6.7</w:t>
            </w:r>
          </w:p>
        </w:tc>
      </w:tr>
      <w:tr w:rsidR="00490E32" w:rsidRPr="002F5954" w14:paraId="25039074"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2FD1F82C"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Stratford Mount Pleasant East </w:t>
            </w:r>
          </w:p>
        </w:tc>
        <w:tc>
          <w:tcPr>
            <w:tcW w:w="1843" w:type="dxa"/>
            <w:noWrap/>
            <w:hideMark/>
          </w:tcPr>
          <w:p w14:paraId="252A6E7A"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42</w:t>
            </w:r>
          </w:p>
        </w:tc>
        <w:tc>
          <w:tcPr>
            <w:tcW w:w="1984" w:type="dxa"/>
            <w:noWrap/>
            <w:hideMark/>
          </w:tcPr>
          <w:p w14:paraId="67DD0487"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6.6</w:t>
            </w:r>
          </w:p>
        </w:tc>
      </w:tr>
      <w:tr w:rsidR="00490E32" w:rsidRPr="002F5954" w14:paraId="1EFEF57A"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14C96AB7"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Studley East &amp; Priory </w:t>
            </w:r>
          </w:p>
        </w:tc>
        <w:tc>
          <w:tcPr>
            <w:tcW w:w="1843" w:type="dxa"/>
            <w:noWrap/>
            <w:hideMark/>
          </w:tcPr>
          <w:p w14:paraId="0E0FA748"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45</w:t>
            </w:r>
          </w:p>
        </w:tc>
        <w:tc>
          <w:tcPr>
            <w:tcW w:w="1984" w:type="dxa"/>
            <w:noWrap/>
            <w:hideMark/>
          </w:tcPr>
          <w:p w14:paraId="09911C7F" w14:textId="77777777" w:rsidR="00490E32" w:rsidRPr="002F5954" w:rsidRDefault="00490E32" w:rsidP="00E761A1">
            <w:pPr>
              <w:ind w:left="0"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Arial"/>
                <w:sz w:val="20"/>
                <w:szCs w:val="20"/>
              </w:rPr>
              <w:t>6.5</w:t>
            </w:r>
          </w:p>
        </w:tc>
      </w:tr>
      <w:tr w:rsidR="00490E32" w:rsidRPr="002F5954" w14:paraId="41FB3437"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382" w:type="dxa"/>
            <w:noWrap/>
            <w:hideMark/>
          </w:tcPr>
          <w:p w14:paraId="361C0BC8" w14:textId="77777777" w:rsidR="00490E32" w:rsidRPr="002F5954" w:rsidRDefault="00490E32" w:rsidP="004E2B05">
            <w:pPr>
              <w:ind w:right="237"/>
              <w:rPr>
                <w:rFonts w:eastAsia="Times New Roman" w:cs="Arial"/>
                <w:sz w:val="20"/>
                <w:szCs w:val="20"/>
                <w:lang w:eastAsia="en-GB"/>
              </w:rPr>
            </w:pPr>
            <w:r w:rsidRPr="002F5954">
              <w:rPr>
                <w:rFonts w:cs="Calibri"/>
                <w:color w:val="000000"/>
                <w:sz w:val="20"/>
                <w:szCs w:val="20"/>
              </w:rPr>
              <w:t xml:space="preserve">Alcester South, Arrow &amp; Weethley </w:t>
            </w:r>
          </w:p>
        </w:tc>
        <w:tc>
          <w:tcPr>
            <w:tcW w:w="1843" w:type="dxa"/>
            <w:noWrap/>
            <w:hideMark/>
          </w:tcPr>
          <w:p w14:paraId="6CFCD5EA"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52</w:t>
            </w:r>
          </w:p>
        </w:tc>
        <w:tc>
          <w:tcPr>
            <w:tcW w:w="1984" w:type="dxa"/>
            <w:noWrap/>
            <w:hideMark/>
          </w:tcPr>
          <w:p w14:paraId="3AA75F2E" w14:textId="77777777" w:rsidR="00490E32" w:rsidRPr="002F5954" w:rsidRDefault="00490E32" w:rsidP="00E761A1">
            <w:pPr>
              <w:ind w:left="0"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Arial"/>
                <w:sz w:val="20"/>
                <w:szCs w:val="20"/>
              </w:rPr>
              <w:t>6.4</w:t>
            </w:r>
          </w:p>
        </w:tc>
      </w:tr>
    </w:tbl>
    <w:p w14:paraId="4D736A52" w14:textId="77777777" w:rsidR="00490E32" w:rsidRDefault="00490E32" w:rsidP="00490E32">
      <w:pPr>
        <w:pStyle w:val="ListParagraph"/>
        <w:spacing w:after="0"/>
        <w:ind w:left="1080" w:firstLine="0"/>
        <w:jc w:val="left"/>
        <w:rPr>
          <w:b/>
          <w:bCs/>
          <w:sz w:val="22"/>
          <w:szCs w:val="22"/>
          <w:lang w:eastAsia="en-GB"/>
        </w:rPr>
      </w:pPr>
    </w:p>
    <w:p w14:paraId="08A68DC5" w14:textId="20D904EC" w:rsidR="005413B6" w:rsidRPr="0019692F" w:rsidRDefault="005413B6" w:rsidP="00F8060C">
      <w:pPr>
        <w:pStyle w:val="ListParagraph"/>
        <w:numPr>
          <w:ilvl w:val="1"/>
          <w:numId w:val="20"/>
        </w:numPr>
        <w:contextualSpacing w:val="0"/>
        <w:jc w:val="left"/>
        <w:rPr>
          <w:b/>
          <w:bCs/>
          <w:i/>
          <w:iCs/>
          <w:sz w:val="22"/>
          <w:szCs w:val="22"/>
          <w:lang w:eastAsia="en-GB"/>
        </w:rPr>
      </w:pPr>
      <w:r w:rsidRPr="0019692F">
        <w:rPr>
          <w:b/>
          <w:bCs/>
          <w:i/>
          <w:iCs/>
          <w:sz w:val="22"/>
          <w:szCs w:val="22"/>
          <w:lang w:eastAsia="en-GB"/>
        </w:rPr>
        <w:t>People with a long-term health problem or disability</w:t>
      </w:r>
    </w:p>
    <w:p w14:paraId="428B4003" w14:textId="58A37C00" w:rsidR="004B606F" w:rsidRPr="00C17454" w:rsidRDefault="004B606F" w:rsidP="00456AAA">
      <w:pPr>
        <w:pStyle w:val="ListParagraph"/>
        <w:numPr>
          <w:ilvl w:val="3"/>
          <w:numId w:val="20"/>
        </w:numPr>
        <w:ind w:left="709" w:right="421" w:hanging="709"/>
        <w:contextualSpacing w:val="0"/>
        <w:jc w:val="left"/>
        <w:rPr>
          <w:sz w:val="22"/>
          <w:szCs w:val="22"/>
        </w:rPr>
      </w:pPr>
      <w:r w:rsidRPr="00C17454">
        <w:rPr>
          <w:sz w:val="22"/>
          <w:szCs w:val="22"/>
        </w:rPr>
        <w:t>There was significant variation across LSOAs in the district in the proportion of population suffering from health issues which impacted on day-to</w:t>
      </w:r>
      <w:r w:rsidR="003C0781">
        <w:rPr>
          <w:sz w:val="22"/>
          <w:szCs w:val="22"/>
        </w:rPr>
        <w:t>-</w:t>
      </w:r>
      <w:r w:rsidRPr="00C17454">
        <w:rPr>
          <w:sz w:val="22"/>
          <w:szCs w:val="22"/>
        </w:rPr>
        <w:t>day activities a lot, ranging from 1.91% in Alveston Hill &amp; Rural to 11.84% in Studley South. Table 1</w:t>
      </w:r>
      <w:r w:rsidR="001E3DEB" w:rsidRPr="00C17454">
        <w:rPr>
          <w:sz w:val="22"/>
          <w:szCs w:val="22"/>
        </w:rPr>
        <w:t>4</w:t>
      </w:r>
      <w:r w:rsidRPr="00C17454">
        <w:rPr>
          <w:sz w:val="22"/>
          <w:szCs w:val="22"/>
        </w:rPr>
        <w:t xml:space="preserve"> </w:t>
      </w:r>
      <w:r w:rsidR="003C0781">
        <w:rPr>
          <w:sz w:val="22"/>
          <w:szCs w:val="22"/>
        </w:rPr>
        <w:t>above</w:t>
      </w:r>
      <w:r w:rsidRPr="00C17454">
        <w:rPr>
          <w:sz w:val="22"/>
          <w:szCs w:val="22"/>
        </w:rPr>
        <w:t xml:space="preserve"> shows the LSOAs which fell into the top 25% for highest proportion of population impacted by poor health.</w:t>
      </w:r>
    </w:p>
    <w:p w14:paraId="1C68BFBB" w14:textId="77777777" w:rsidR="00CB645C" w:rsidRDefault="00CB645C" w:rsidP="00F8060C">
      <w:pPr>
        <w:pStyle w:val="Caption"/>
        <w:keepNext/>
        <w:spacing w:after="120"/>
        <w:ind w:hanging="11"/>
        <w:rPr>
          <w:i w:val="0"/>
          <w:iCs w:val="0"/>
          <w:color w:val="auto"/>
          <w:sz w:val="22"/>
          <w:szCs w:val="22"/>
        </w:rPr>
      </w:pPr>
    </w:p>
    <w:p w14:paraId="2B98778C" w14:textId="77777777" w:rsidR="00CB645C" w:rsidRDefault="00CB645C" w:rsidP="00F8060C">
      <w:pPr>
        <w:pStyle w:val="Caption"/>
        <w:keepNext/>
        <w:spacing w:after="120"/>
        <w:ind w:hanging="11"/>
        <w:rPr>
          <w:i w:val="0"/>
          <w:iCs w:val="0"/>
          <w:color w:val="auto"/>
          <w:sz w:val="22"/>
          <w:szCs w:val="22"/>
        </w:rPr>
      </w:pPr>
    </w:p>
    <w:p w14:paraId="0CBCB742" w14:textId="77777777" w:rsidR="00CB645C" w:rsidRDefault="00CB645C" w:rsidP="00F8060C">
      <w:pPr>
        <w:pStyle w:val="Caption"/>
        <w:keepNext/>
        <w:spacing w:after="120"/>
        <w:ind w:hanging="11"/>
        <w:rPr>
          <w:i w:val="0"/>
          <w:iCs w:val="0"/>
          <w:color w:val="auto"/>
          <w:sz w:val="22"/>
          <w:szCs w:val="22"/>
        </w:rPr>
      </w:pPr>
    </w:p>
    <w:p w14:paraId="2A28F09F" w14:textId="77777777" w:rsidR="00CB645C" w:rsidRDefault="00CB645C" w:rsidP="00F8060C">
      <w:pPr>
        <w:pStyle w:val="Caption"/>
        <w:keepNext/>
        <w:spacing w:after="120"/>
        <w:ind w:hanging="11"/>
        <w:rPr>
          <w:i w:val="0"/>
          <w:iCs w:val="0"/>
          <w:color w:val="auto"/>
          <w:sz w:val="22"/>
          <w:szCs w:val="22"/>
        </w:rPr>
      </w:pPr>
    </w:p>
    <w:p w14:paraId="4CA72C8C" w14:textId="77777777" w:rsidR="00CB645C" w:rsidRDefault="00CB645C" w:rsidP="00F8060C">
      <w:pPr>
        <w:pStyle w:val="Caption"/>
        <w:keepNext/>
        <w:spacing w:after="120"/>
        <w:ind w:hanging="11"/>
        <w:rPr>
          <w:i w:val="0"/>
          <w:iCs w:val="0"/>
          <w:color w:val="auto"/>
          <w:sz w:val="22"/>
          <w:szCs w:val="22"/>
        </w:rPr>
      </w:pPr>
    </w:p>
    <w:p w14:paraId="6C39A297" w14:textId="77777777" w:rsidR="00CB645C" w:rsidRDefault="00CB645C" w:rsidP="00F8060C">
      <w:pPr>
        <w:pStyle w:val="Caption"/>
        <w:keepNext/>
        <w:spacing w:after="120"/>
        <w:ind w:hanging="11"/>
        <w:rPr>
          <w:i w:val="0"/>
          <w:iCs w:val="0"/>
          <w:color w:val="auto"/>
          <w:sz w:val="22"/>
          <w:szCs w:val="22"/>
        </w:rPr>
      </w:pPr>
    </w:p>
    <w:p w14:paraId="2476038F" w14:textId="77777777" w:rsidR="00CB645C" w:rsidRDefault="00CB645C" w:rsidP="00F8060C">
      <w:pPr>
        <w:pStyle w:val="Caption"/>
        <w:keepNext/>
        <w:spacing w:after="120"/>
        <w:ind w:hanging="11"/>
        <w:rPr>
          <w:i w:val="0"/>
          <w:iCs w:val="0"/>
          <w:color w:val="auto"/>
          <w:sz w:val="22"/>
          <w:szCs w:val="22"/>
        </w:rPr>
      </w:pPr>
    </w:p>
    <w:p w14:paraId="2D9C41E6" w14:textId="77777777" w:rsidR="00CB645C" w:rsidRDefault="00CB645C" w:rsidP="00F8060C">
      <w:pPr>
        <w:pStyle w:val="Caption"/>
        <w:keepNext/>
        <w:spacing w:after="120"/>
        <w:ind w:hanging="11"/>
        <w:rPr>
          <w:i w:val="0"/>
          <w:iCs w:val="0"/>
          <w:color w:val="auto"/>
          <w:sz w:val="22"/>
          <w:szCs w:val="22"/>
        </w:rPr>
      </w:pPr>
    </w:p>
    <w:p w14:paraId="5B947CE8" w14:textId="77777777" w:rsidR="00C62532" w:rsidRDefault="00C62532">
      <w:pPr>
        <w:spacing w:after="0"/>
        <w:ind w:left="0" w:firstLine="0"/>
        <w:jc w:val="left"/>
        <w:rPr>
          <w:sz w:val="22"/>
          <w:szCs w:val="22"/>
        </w:rPr>
      </w:pPr>
      <w:r>
        <w:rPr>
          <w:i/>
          <w:iCs/>
          <w:sz w:val="22"/>
          <w:szCs w:val="22"/>
        </w:rPr>
        <w:br w:type="page"/>
      </w:r>
    </w:p>
    <w:p w14:paraId="365F885F" w14:textId="247C9CB4" w:rsidR="00533318" w:rsidRPr="008D7D3E" w:rsidRDefault="00533318" w:rsidP="00F8060C">
      <w:pPr>
        <w:pStyle w:val="Caption"/>
        <w:keepNext/>
        <w:spacing w:after="120"/>
        <w:ind w:hanging="11"/>
        <w:rPr>
          <w:i w:val="0"/>
          <w:iCs w:val="0"/>
          <w:color w:val="auto"/>
          <w:sz w:val="22"/>
          <w:szCs w:val="22"/>
        </w:rPr>
      </w:pPr>
      <w:r w:rsidRPr="008D7D3E">
        <w:rPr>
          <w:i w:val="0"/>
          <w:iCs w:val="0"/>
          <w:color w:val="auto"/>
          <w:sz w:val="22"/>
          <w:szCs w:val="22"/>
        </w:rPr>
        <w:lastRenderedPageBreak/>
        <w:t xml:space="preserve">Table </w:t>
      </w:r>
      <w:r w:rsidR="00F61229" w:rsidRPr="008D7D3E">
        <w:rPr>
          <w:i w:val="0"/>
          <w:iCs w:val="0"/>
          <w:color w:val="auto"/>
          <w:sz w:val="22"/>
          <w:szCs w:val="22"/>
        </w:rPr>
        <w:fldChar w:fldCharType="begin"/>
      </w:r>
      <w:r w:rsidR="00F61229" w:rsidRPr="008D7D3E">
        <w:rPr>
          <w:i w:val="0"/>
          <w:iCs w:val="0"/>
          <w:color w:val="auto"/>
          <w:sz w:val="22"/>
          <w:szCs w:val="22"/>
        </w:rPr>
        <w:instrText xml:space="preserve"> SEQ Table \* ARABIC </w:instrText>
      </w:r>
      <w:r w:rsidR="00F61229" w:rsidRPr="008D7D3E">
        <w:rPr>
          <w:i w:val="0"/>
          <w:iCs w:val="0"/>
          <w:color w:val="auto"/>
          <w:sz w:val="22"/>
          <w:szCs w:val="22"/>
        </w:rPr>
        <w:fldChar w:fldCharType="separate"/>
      </w:r>
      <w:r w:rsidR="00E94700" w:rsidRPr="008D7D3E">
        <w:rPr>
          <w:i w:val="0"/>
          <w:iCs w:val="0"/>
          <w:noProof/>
          <w:color w:val="auto"/>
          <w:sz w:val="22"/>
          <w:szCs w:val="22"/>
        </w:rPr>
        <w:t>15</w:t>
      </w:r>
      <w:r w:rsidR="00F61229" w:rsidRPr="008D7D3E">
        <w:rPr>
          <w:i w:val="0"/>
          <w:iCs w:val="0"/>
          <w:noProof/>
          <w:color w:val="auto"/>
          <w:sz w:val="22"/>
          <w:szCs w:val="22"/>
        </w:rPr>
        <w:fldChar w:fldCharType="end"/>
      </w:r>
    </w:p>
    <w:tbl>
      <w:tblPr>
        <w:tblStyle w:val="GridTable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7"/>
        <w:gridCol w:w="1984"/>
        <w:gridCol w:w="1985"/>
      </w:tblGrid>
      <w:tr w:rsidR="00533318" w:rsidRPr="002F5954" w14:paraId="56E86728" w14:textId="77777777" w:rsidTr="00072B7D">
        <w:trPr>
          <w:cnfStyle w:val="100000000000" w:firstRow="1" w:lastRow="0" w:firstColumn="0" w:lastColumn="0" w:oddVBand="0" w:evenVBand="0" w:oddHBand="0"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807" w:type="dxa"/>
            <w:tcBorders>
              <w:top w:val="none" w:sz="0" w:space="0" w:color="auto"/>
              <w:bottom w:val="none" w:sz="0" w:space="0" w:color="auto"/>
              <w:right w:val="none" w:sz="0" w:space="0" w:color="auto"/>
            </w:tcBorders>
            <w:noWrap/>
            <w:vAlign w:val="center"/>
            <w:hideMark/>
          </w:tcPr>
          <w:p w14:paraId="14A282FC" w14:textId="07179746" w:rsidR="00533318" w:rsidRPr="002F5954" w:rsidRDefault="00533318" w:rsidP="00533318">
            <w:pPr>
              <w:ind w:firstLine="0"/>
              <w:jc w:val="left"/>
              <w:rPr>
                <w:b w:val="0"/>
                <w:color w:val="1F497D" w:themeColor="text2"/>
                <w:sz w:val="20"/>
                <w:szCs w:val="20"/>
              </w:rPr>
            </w:pPr>
            <w:r w:rsidRPr="002F5954">
              <w:rPr>
                <w:color w:val="1F497D" w:themeColor="text2"/>
                <w:sz w:val="20"/>
                <w:szCs w:val="20"/>
              </w:rPr>
              <w:t>Lower Super Output Area</w:t>
            </w:r>
          </w:p>
        </w:tc>
        <w:tc>
          <w:tcPr>
            <w:tcW w:w="1984" w:type="dxa"/>
            <w:tcBorders>
              <w:top w:val="none" w:sz="0" w:space="0" w:color="auto"/>
              <w:left w:val="none" w:sz="0" w:space="0" w:color="auto"/>
              <w:bottom w:val="none" w:sz="0" w:space="0" w:color="auto"/>
              <w:right w:val="none" w:sz="0" w:space="0" w:color="auto"/>
            </w:tcBorders>
            <w:vAlign w:val="center"/>
            <w:hideMark/>
          </w:tcPr>
          <w:p w14:paraId="3987A868" w14:textId="543C3DA0" w:rsidR="00533318" w:rsidRPr="002F5954" w:rsidRDefault="001C6FE7" w:rsidP="00533318">
            <w:pPr>
              <w:ind w:left="0" w:firstLine="0"/>
              <w:jc w:val="left"/>
              <w:cnfStyle w:val="100000000000" w:firstRow="1" w:lastRow="0" w:firstColumn="0" w:lastColumn="0" w:oddVBand="0" w:evenVBand="0" w:oddHBand="0" w:evenHBand="0" w:firstRowFirstColumn="0" w:firstRowLastColumn="0" w:lastRowFirstColumn="0" w:lastRowLastColumn="0"/>
              <w:rPr>
                <w:bCs w:val="0"/>
                <w:color w:val="1F497D" w:themeColor="text2"/>
                <w:sz w:val="20"/>
                <w:szCs w:val="20"/>
              </w:rPr>
            </w:pPr>
            <w:r w:rsidRPr="002F5954">
              <w:rPr>
                <w:color w:val="1F497D" w:themeColor="text2"/>
                <w:sz w:val="20"/>
                <w:szCs w:val="20"/>
              </w:rPr>
              <w:t xml:space="preserve">Number of </w:t>
            </w:r>
            <w:r>
              <w:rPr>
                <w:bCs w:val="0"/>
                <w:color w:val="1F497D" w:themeColor="text2"/>
                <w:sz w:val="20"/>
                <w:szCs w:val="20"/>
              </w:rPr>
              <w:t>people living with long term health problem or disability</w:t>
            </w:r>
          </w:p>
        </w:tc>
        <w:tc>
          <w:tcPr>
            <w:tcW w:w="1985" w:type="dxa"/>
            <w:tcBorders>
              <w:top w:val="none" w:sz="0" w:space="0" w:color="auto"/>
              <w:left w:val="none" w:sz="0" w:space="0" w:color="auto"/>
              <w:bottom w:val="none" w:sz="0" w:space="0" w:color="auto"/>
            </w:tcBorders>
            <w:vAlign w:val="center"/>
            <w:hideMark/>
          </w:tcPr>
          <w:p w14:paraId="245473BA" w14:textId="039B7006" w:rsidR="00533318" w:rsidRPr="002F5954" w:rsidRDefault="005D197E" w:rsidP="00533318">
            <w:pPr>
              <w:ind w:left="0" w:firstLine="0"/>
              <w:jc w:val="left"/>
              <w:cnfStyle w:val="100000000000" w:firstRow="1" w:lastRow="0" w:firstColumn="0" w:lastColumn="0" w:oddVBand="0" w:evenVBand="0" w:oddHBand="0" w:evenHBand="0" w:firstRowFirstColumn="0" w:firstRowLastColumn="0" w:lastRowFirstColumn="0" w:lastRowLastColumn="0"/>
              <w:rPr>
                <w:b w:val="0"/>
                <w:bCs w:val="0"/>
                <w:color w:val="1F497D" w:themeColor="text2"/>
                <w:sz w:val="20"/>
                <w:szCs w:val="20"/>
              </w:rPr>
            </w:pPr>
            <w:r w:rsidRPr="002F5954">
              <w:rPr>
                <w:color w:val="1F497D" w:themeColor="text2"/>
                <w:sz w:val="20"/>
                <w:szCs w:val="20"/>
              </w:rPr>
              <w:t xml:space="preserve">Proportion of </w:t>
            </w:r>
            <w:r>
              <w:rPr>
                <w:bCs w:val="0"/>
                <w:color w:val="1F497D" w:themeColor="text2"/>
                <w:sz w:val="20"/>
                <w:szCs w:val="20"/>
              </w:rPr>
              <w:t>people living with long term health problem or disability</w:t>
            </w:r>
          </w:p>
        </w:tc>
      </w:tr>
      <w:tr w:rsidR="00533318" w:rsidRPr="002F5954" w14:paraId="7FB3E011"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2CCA5967"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Studley South </w:t>
            </w:r>
          </w:p>
        </w:tc>
        <w:tc>
          <w:tcPr>
            <w:tcW w:w="1984" w:type="dxa"/>
            <w:noWrap/>
            <w:vAlign w:val="bottom"/>
            <w:hideMark/>
          </w:tcPr>
          <w:p w14:paraId="69D47F29"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179</w:t>
            </w:r>
          </w:p>
        </w:tc>
        <w:tc>
          <w:tcPr>
            <w:tcW w:w="1985" w:type="dxa"/>
            <w:noWrap/>
            <w:vAlign w:val="bottom"/>
            <w:hideMark/>
          </w:tcPr>
          <w:p w14:paraId="181F3152"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11.84%</w:t>
            </w:r>
          </w:p>
        </w:tc>
      </w:tr>
      <w:tr w:rsidR="00533318" w:rsidRPr="002F5954" w14:paraId="7A19067B"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32A7DEBE"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Old Town &amp; Town Centre South </w:t>
            </w:r>
          </w:p>
        </w:tc>
        <w:tc>
          <w:tcPr>
            <w:tcW w:w="1984" w:type="dxa"/>
            <w:noWrap/>
            <w:vAlign w:val="bottom"/>
            <w:hideMark/>
          </w:tcPr>
          <w:p w14:paraId="6D18EE85" w14:textId="77777777" w:rsidR="00533318" w:rsidRPr="002F5954" w:rsidRDefault="00533318" w:rsidP="00435507">
            <w:pPr>
              <w:ind w:left="-112" w:right="-102"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205</w:t>
            </w:r>
          </w:p>
        </w:tc>
        <w:tc>
          <w:tcPr>
            <w:tcW w:w="1985" w:type="dxa"/>
            <w:noWrap/>
            <w:vAlign w:val="bottom"/>
            <w:hideMark/>
          </w:tcPr>
          <w:p w14:paraId="708359CD" w14:textId="77777777" w:rsidR="00533318" w:rsidRPr="002F5954" w:rsidRDefault="00533318" w:rsidP="00435507">
            <w:pPr>
              <w:ind w:left="-107" w:right="-105"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11.67%</w:t>
            </w:r>
          </w:p>
        </w:tc>
      </w:tr>
      <w:tr w:rsidR="00533318" w:rsidRPr="002F5954" w14:paraId="1CAB0AC2"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2D1A8403"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Alcester East &amp; Island </w:t>
            </w:r>
          </w:p>
        </w:tc>
        <w:tc>
          <w:tcPr>
            <w:tcW w:w="1984" w:type="dxa"/>
            <w:noWrap/>
            <w:vAlign w:val="bottom"/>
            <w:hideMark/>
          </w:tcPr>
          <w:p w14:paraId="6D472D25"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178</w:t>
            </w:r>
          </w:p>
        </w:tc>
        <w:tc>
          <w:tcPr>
            <w:tcW w:w="1985" w:type="dxa"/>
            <w:noWrap/>
            <w:vAlign w:val="bottom"/>
            <w:hideMark/>
          </w:tcPr>
          <w:p w14:paraId="5E9BDE46"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11.51%</w:t>
            </w:r>
          </w:p>
        </w:tc>
      </w:tr>
      <w:tr w:rsidR="00533318" w:rsidRPr="002F5954" w14:paraId="400B4573"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68C87A75"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Dunnington and Salford Priors </w:t>
            </w:r>
          </w:p>
        </w:tc>
        <w:tc>
          <w:tcPr>
            <w:tcW w:w="1984" w:type="dxa"/>
            <w:noWrap/>
            <w:vAlign w:val="bottom"/>
            <w:hideMark/>
          </w:tcPr>
          <w:p w14:paraId="6E0ECD5E" w14:textId="77777777" w:rsidR="00533318" w:rsidRPr="002F5954" w:rsidRDefault="00533318" w:rsidP="00435507">
            <w:pPr>
              <w:ind w:left="-112" w:right="-102"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173</w:t>
            </w:r>
          </w:p>
        </w:tc>
        <w:tc>
          <w:tcPr>
            <w:tcW w:w="1985" w:type="dxa"/>
            <w:noWrap/>
            <w:vAlign w:val="bottom"/>
            <w:hideMark/>
          </w:tcPr>
          <w:p w14:paraId="48E97A72" w14:textId="77777777" w:rsidR="00533318" w:rsidRPr="002F5954" w:rsidRDefault="00533318" w:rsidP="00435507">
            <w:pPr>
              <w:ind w:left="-107" w:right="-105"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11.19%</w:t>
            </w:r>
          </w:p>
        </w:tc>
      </w:tr>
      <w:tr w:rsidR="00533318" w:rsidRPr="002F5954" w14:paraId="4494D86E"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0B74250C"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Alcester North &amp; Conway </w:t>
            </w:r>
          </w:p>
        </w:tc>
        <w:tc>
          <w:tcPr>
            <w:tcW w:w="1984" w:type="dxa"/>
            <w:noWrap/>
            <w:vAlign w:val="bottom"/>
            <w:hideMark/>
          </w:tcPr>
          <w:p w14:paraId="01BDEFCA"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153</w:t>
            </w:r>
          </w:p>
        </w:tc>
        <w:tc>
          <w:tcPr>
            <w:tcW w:w="1985" w:type="dxa"/>
            <w:noWrap/>
            <w:vAlign w:val="bottom"/>
            <w:hideMark/>
          </w:tcPr>
          <w:p w14:paraId="6EA4D539"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11.17%</w:t>
            </w:r>
          </w:p>
        </w:tc>
      </w:tr>
      <w:tr w:rsidR="00533318" w:rsidRPr="002F5954" w14:paraId="0B9D193C"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1D3FD3F2"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Shipston West and Town Centre </w:t>
            </w:r>
          </w:p>
        </w:tc>
        <w:tc>
          <w:tcPr>
            <w:tcW w:w="1984" w:type="dxa"/>
            <w:noWrap/>
            <w:vAlign w:val="bottom"/>
            <w:hideMark/>
          </w:tcPr>
          <w:p w14:paraId="34B2B88A" w14:textId="77777777" w:rsidR="00533318" w:rsidRPr="002F5954" w:rsidRDefault="00533318" w:rsidP="00435507">
            <w:pPr>
              <w:ind w:left="-112" w:right="-102"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154</w:t>
            </w:r>
          </w:p>
        </w:tc>
        <w:tc>
          <w:tcPr>
            <w:tcW w:w="1985" w:type="dxa"/>
            <w:noWrap/>
            <w:vAlign w:val="bottom"/>
            <w:hideMark/>
          </w:tcPr>
          <w:p w14:paraId="475E66DD" w14:textId="77777777" w:rsidR="00533318" w:rsidRPr="002F5954" w:rsidRDefault="00533318" w:rsidP="00435507">
            <w:pPr>
              <w:ind w:left="-107" w:right="-105"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10.44%</w:t>
            </w:r>
          </w:p>
        </w:tc>
      </w:tr>
      <w:tr w:rsidR="00533318" w:rsidRPr="002F5954" w14:paraId="3733B5FE"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24DDCA52"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Stratford Mount Pleasant East </w:t>
            </w:r>
          </w:p>
        </w:tc>
        <w:tc>
          <w:tcPr>
            <w:tcW w:w="1984" w:type="dxa"/>
            <w:noWrap/>
            <w:vAlign w:val="bottom"/>
            <w:hideMark/>
          </w:tcPr>
          <w:p w14:paraId="6BA7761E"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139</w:t>
            </w:r>
          </w:p>
        </w:tc>
        <w:tc>
          <w:tcPr>
            <w:tcW w:w="1985" w:type="dxa"/>
            <w:noWrap/>
            <w:vAlign w:val="bottom"/>
            <w:hideMark/>
          </w:tcPr>
          <w:p w14:paraId="126B3DEF"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10.43%</w:t>
            </w:r>
          </w:p>
        </w:tc>
      </w:tr>
      <w:tr w:rsidR="00533318" w:rsidRPr="002F5954" w14:paraId="05405C5E"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55D9A5A4"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Henley East and Beaudesert </w:t>
            </w:r>
          </w:p>
        </w:tc>
        <w:tc>
          <w:tcPr>
            <w:tcW w:w="1984" w:type="dxa"/>
            <w:noWrap/>
            <w:vAlign w:val="bottom"/>
            <w:hideMark/>
          </w:tcPr>
          <w:p w14:paraId="19B472A7" w14:textId="77777777" w:rsidR="00533318" w:rsidRPr="002F5954" w:rsidRDefault="00533318" w:rsidP="00435507">
            <w:pPr>
              <w:ind w:left="-112" w:right="-102"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153</w:t>
            </w:r>
          </w:p>
        </w:tc>
        <w:tc>
          <w:tcPr>
            <w:tcW w:w="1985" w:type="dxa"/>
            <w:noWrap/>
            <w:vAlign w:val="bottom"/>
            <w:hideMark/>
          </w:tcPr>
          <w:p w14:paraId="3A9F1DA0" w14:textId="77777777" w:rsidR="00533318" w:rsidRPr="002F5954" w:rsidRDefault="00533318" w:rsidP="00435507">
            <w:pPr>
              <w:ind w:left="-107" w:right="-105"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10.15%</w:t>
            </w:r>
          </w:p>
        </w:tc>
      </w:tr>
      <w:tr w:rsidR="00533318" w:rsidRPr="002F5954" w14:paraId="5CA0DA66"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11244271"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Studley North </w:t>
            </w:r>
          </w:p>
        </w:tc>
        <w:tc>
          <w:tcPr>
            <w:tcW w:w="1984" w:type="dxa"/>
            <w:noWrap/>
            <w:vAlign w:val="bottom"/>
            <w:hideMark/>
          </w:tcPr>
          <w:p w14:paraId="371596AF"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138</w:t>
            </w:r>
          </w:p>
        </w:tc>
        <w:tc>
          <w:tcPr>
            <w:tcW w:w="1985" w:type="dxa"/>
            <w:noWrap/>
            <w:vAlign w:val="bottom"/>
            <w:hideMark/>
          </w:tcPr>
          <w:p w14:paraId="524282CD"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10.12%</w:t>
            </w:r>
          </w:p>
        </w:tc>
      </w:tr>
      <w:tr w:rsidR="00533318" w:rsidRPr="002F5954" w14:paraId="01ED7563"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21E7526C"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Tiddington &amp; Alveston </w:t>
            </w:r>
          </w:p>
        </w:tc>
        <w:tc>
          <w:tcPr>
            <w:tcW w:w="1984" w:type="dxa"/>
            <w:noWrap/>
            <w:vAlign w:val="bottom"/>
            <w:hideMark/>
          </w:tcPr>
          <w:p w14:paraId="4251CB22" w14:textId="77777777" w:rsidR="00533318" w:rsidRPr="002F5954" w:rsidRDefault="00533318" w:rsidP="00435507">
            <w:pPr>
              <w:ind w:left="-112" w:right="-102"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198</w:t>
            </w:r>
          </w:p>
        </w:tc>
        <w:tc>
          <w:tcPr>
            <w:tcW w:w="1985" w:type="dxa"/>
            <w:noWrap/>
            <w:vAlign w:val="bottom"/>
            <w:hideMark/>
          </w:tcPr>
          <w:p w14:paraId="56EA9F48" w14:textId="77777777" w:rsidR="00533318" w:rsidRPr="002F5954" w:rsidRDefault="00533318" w:rsidP="00435507">
            <w:pPr>
              <w:ind w:left="-107" w:right="-105"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9.87%</w:t>
            </w:r>
          </w:p>
        </w:tc>
      </w:tr>
      <w:tr w:rsidR="00533318" w:rsidRPr="002F5954" w14:paraId="7B09FD06"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0DBCFD7B"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Wootton Wawen </w:t>
            </w:r>
          </w:p>
        </w:tc>
        <w:tc>
          <w:tcPr>
            <w:tcW w:w="1984" w:type="dxa"/>
            <w:noWrap/>
            <w:vAlign w:val="bottom"/>
            <w:hideMark/>
          </w:tcPr>
          <w:p w14:paraId="2655191A"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130</w:t>
            </w:r>
          </w:p>
        </w:tc>
        <w:tc>
          <w:tcPr>
            <w:tcW w:w="1985" w:type="dxa"/>
            <w:noWrap/>
            <w:vAlign w:val="bottom"/>
            <w:hideMark/>
          </w:tcPr>
          <w:p w14:paraId="29B0B484"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9.86%</w:t>
            </w:r>
          </w:p>
        </w:tc>
      </w:tr>
      <w:tr w:rsidR="00533318" w:rsidRPr="002F5954" w14:paraId="297BB226"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493CBD8D"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Southam South &amp; Town Centre </w:t>
            </w:r>
          </w:p>
        </w:tc>
        <w:tc>
          <w:tcPr>
            <w:tcW w:w="1984" w:type="dxa"/>
            <w:noWrap/>
            <w:vAlign w:val="bottom"/>
            <w:hideMark/>
          </w:tcPr>
          <w:p w14:paraId="3A409321" w14:textId="77777777" w:rsidR="00533318" w:rsidRPr="002F5954" w:rsidRDefault="00533318" w:rsidP="00435507">
            <w:pPr>
              <w:ind w:left="-112" w:right="-102"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192</w:t>
            </w:r>
          </w:p>
        </w:tc>
        <w:tc>
          <w:tcPr>
            <w:tcW w:w="1985" w:type="dxa"/>
            <w:noWrap/>
            <w:vAlign w:val="bottom"/>
            <w:hideMark/>
          </w:tcPr>
          <w:p w14:paraId="5A5928B6" w14:textId="77777777" w:rsidR="00533318" w:rsidRPr="002F5954" w:rsidRDefault="00533318" w:rsidP="00435507">
            <w:pPr>
              <w:ind w:left="-107" w:right="-105"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9.60%</w:t>
            </w:r>
          </w:p>
        </w:tc>
      </w:tr>
      <w:tr w:rsidR="00533318" w:rsidRPr="002F5954" w14:paraId="356E6AE7"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096E2217"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Long Itchington East </w:t>
            </w:r>
          </w:p>
        </w:tc>
        <w:tc>
          <w:tcPr>
            <w:tcW w:w="1984" w:type="dxa"/>
            <w:noWrap/>
            <w:vAlign w:val="bottom"/>
            <w:hideMark/>
          </w:tcPr>
          <w:p w14:paraId="611E8E5E"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102</w:t>
            </w:r>
          </w:p>
        </w:tc>
        <w:tc>
          <w:tcPr>
            <w:tcW w:w="1985" w:type="dxa"/>
            <w:noWrap/>
            <w:vAlign w:val="bottom"/>
            <w:hideMark/>
          </w:tcPr>
          <w:p w14:paraId="6C4886F6"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9.50%</w:t>
            </w:r>
          </w:p>
        </w:tc>
      </w:tr>
      <w:tr w:rsidR="00533318" w:rsidRPr="002F5954" w14:paraId="5E598236"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6807EA2B"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Kinwarton </w:t>
            </w:r>
          </w:p>
        </w:tc>
        <w:tc>
          <w:tcPr>
            <w:tcW w:w="1984" w:type="dxa"/>
            <w:noWrap/>
            <w:vAlign w:val="bottom"/>
            <w:hideMark/>
          </w:tcPr>
          <w:p w14:paraId="12AF740D" w14:textId="77777777" w:rsidR="00533318" w:rsidRPr="002F5954" w:rsidRDefault="00533318" w:rsidP="00435507">
            <w:pPr>
              <w:ind w:left="-112" w:right="-102"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192</w:t>
            </w:r>
          </w:p>
        </w:tc>
        <w:tc>
          <w:tcPr>
            <w:tcW w:w="1985" w:type="dxa"/>
            <w:noWrap/>
            <w:vAlign w:val="bottom"/>
            <w:hideMark/>
          </w:tcPr>
          <w:p w14:paraId="7003D6EF" w14:textId="77777777" w:rsidR="00533318" w:rsidRPr="002F5954" w:rsidRDefault="00533318" w:rsidP="00435507">
            <w:pPr>
              <w:ind w:left="-107" w:right="-105"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9.28%</w:t>
            </w:r>
          </w:p>
        </w:tc>
      </w:tr>
      <w:tr w:rsidR="00533318" w:rsidRPr="002F5954" w14:paraId="4EEE0850"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2AE54755"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Maybird </w:t>
            </w:r>
          </w:p>
        </w:tc>
        <w:tc>
          <w:tcPr>
            <w:tcW w:w="1984" w:type="dxa"/>
            <w:noWrap/>
            <w:vAlign w:val="bottom"/>
            <w:hideMark/>
          </w:tcPr>
          <w:p w14:paraId="38EE4911"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198</w:t>
            </w:r>
          </w:p>
        </w:tc>
        <w:tc>
          <w:tcPr>
            <w:tcW w:w="1985" w:type="dxa"/>
            <w:noWrap/>
            <w:vAlign w:val="bottom"/>
            <w:hideMark/>
          </w:tcPr>
          <w:p w14:paraId="2875EC11"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9.23%</w:t>
            </w:r>
          </w:p>
        </w:tc>
      </w:tr>
      <w:tr w:rsidR="00533318" w:rsidRPr="002F5954" w14:paraId="216D2066"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1CC1D17C"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Bidford East, Waterloo &amp; Broom </w:t>
            </w:r>
          </w:p>
        </w:tc>
        <w:tc>
          <w:tcPr>
            <w:tcW w:w="1984" w:type="dxa"/>
            <w:noWrap/>
            <w:vAlign w:val="bottom"/>
            <w:hideMark/>
          </w:tcPr>
          <w:p w14:paraId="528E5584" w14:textId="77777777" w:rsidR="00533318" w:rsidRPr="002F5954" w:rsidRDefault="00533318" w:rsidP="00435507">
            <w:pPr>
              <w:ind w:left="-112" w:right="-102"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159</w:t>
            </w:r>
          </w:p>
        </w:tc>
        <w:tc>
          <w:tcPr>
            <w:tcW w:w="1985" w:type="dxa"/>
            <w:noWrap/>
            <w:vAlign w:val="bottom"/>
            <w:hideMark/>
          </w:tcPr>
          <w:p w14:paraId="39739021" w14:textId="77777777" w:rsidR="00533318" w:rsidRPr="002F5954" w:rsidRDefault="00533318" w:rsidP="00435507">
            <w:pPr>
              <w:ind w:left="-107" w:right="-105"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9.09%</w:t>
            </w:r>
          </w:p>
        </w:tc>
      </w:tr>
      <w:tr w:rsidR="00533318" w:rsidRPr="002F5954" w14:paraId="29736407"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7280BDCC"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Kineton Castle, Lt. Kineton &amp; Combrook </w:t>
            </w:r>
          </w:p>
        </w:tc>
        <w:tc>
          <w:tcPr>
            <w:tcW w:w="1984" w:type="dxa"/>
            <w:noWrap/>
            <w:vAlign w:val="bottom"/>
            <w:hideMark/>
          </w:tcPr>
          <w:p w14:paraId="4FFE25A8"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130</w:t>
            </w:r>
          </w:p>
        </w:tc>
        <w:tc>
          <w:tcPr>
            <w:tcW w:w="1985" w:type="dxa"/>
            <w:noWrap/>
            <w:vAlign w:val="bottom"/>
            <w:hideMark/>
          </w:tcPr>
          <w:p w14:paraId="63F78342"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8.81%</w:t>
            </w:r>
          </w:p>
        </w:tc>
      </w:tr>
      <w:tr w:rsidR="00533318" w:rsidRPr="002F5954" w14:paraId="3AC76C3C" w14:textId="77777777" w:rsidTr="00072B7D">
        <w:trPr>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4AD12D58"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Wellesbourne North </w:t>
            </w:r>
          </w:p>
        </w:tc>
        <w:tc>
          <w:tcPr>
            <w:tcW w:w="1984" w:type="dxa"/>
            <w:noWrap/>
            <w:vAlign w:val="bottom"/>
            <w:hideMark/>
          </w:tcPr>
          <w:p w14:paraId="55C569C6" w14:textId="77777777" w:rsidR="00533318" w:rsidRPr="002F5954" w:rsidRDefault="00533318" w:rsidP="00435507">
            <w:pPr>
              <w:ind w:left="-112" w:right="-102"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133</w:t>
            </w:r>
          </w:p>
        </w:tc>
        <w:tc>
          <w:tcPr>
            <w:tcW w:w="1985" w:type="dxa"/>
            <w:noWrap/>
            <w:vAlign w:val="bottom"/>
            <w:hideMark/>
          </w:tcPr>
          <w:p w14:paraId="1177C4D9" w14:textId="77777777" w:rsidR="00533318" w:rsidRPr="002F5954" w:rsidRDefault="00533318" w:rsidP="00435507">
            <w:pPr>
              <w:ind w:left="-107" w:right="-105" w:firstLine="0"/>
              <w:jc w:val="center"/>
              <w:cnfStyle w:val="000000000000" w:firstRow="0" w:lastRow="0" w:firstColumn="0" w:lastColumn="0" w:oddVBand="0" w:evenVBand="0" w:oddHBand="0"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8.74%</w:t>
            </w:r>
          </w:p>
        </w:tc>
      </w:tr>
      <w:tr w:rsidR="00533318" w:rsidRPr="002F5954" w14:paraId="6C76ACD3" w14:textId="77777777" w:rsidTr="00072B7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5807" w:type="dxa"/>
            <w:noWrap/>
            <w:vAlign w:val="bottom"/>
            <w:hideMark/>
          </w:tcPr>
          <w:p w14:paraId="0F900481" w14:textId="77777777" w:rsidR="00533318" w:rsidRPr="002F5954" w:rsidRDefault="00533318" w:rsidP="00533318">
            <w:pPr>
              <w:ind w:right="237" w:firstLine="0"/>
              <w:rPr>
                <w:rFonts w:eastAsia="Times New Roman" w:cs="Arial"/>
                <w:sz w:val="20"/>
                <w:szCs w:val="20"/>
                <w:lang w:eastAsia="en-GB"/>
              </w:rPr>
            </w:pPr>
            <w:r w:rsidRPr="002F5954">
              <w:rPr>
                <w:rFonts w:cs="Calibri"/>
                <w:color w:val="000000"/>
                <w:sz w:val="20"/>
                <w:szCs w:val="20"/>
              </w:rPr>
              <w:t xml:space="preserve">Southam West </w:t>
            </w:r>
          </w:p>
        </w:tc>
        <w:tc>
          <w:tcPr>
            <w:tcW w:w="1984" w:type="dxa"/>
            <w:noWrap/>
            <w:vAlign w:val="bottom"/>
            <w:hideMark/>
          </w:tcPr>
          <w:p w14:paraId="23098003" w14:textId="77777777" w:rsidR="00533318" w:rsidRPr="002F5954" w:rsidRDefault="00533318" w:rsidP="00435507">
            <w:pPr>
              <w:ind w:left="-112" w:right="-102"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133</w:t>
            </w:r>
          </w:p>
        </w:tc>
        <w:tc>
          <w:tcPr>
            <w:tcW w:w="1985" w:type="dxa"/>
            <w:noWrap/>
            <w:vAlign w:val="bottom"/>
            <w:hideMark/>
          </w:tcPr>
          <w:p w14:paraId="3E80C0F1" w14:textId="77777777" w:rsidR="00533318" w:rsidRPr="002F5954" w:rsidRDefault="00533318" w:rsidP="00435507">
            <w:pPr>
              <w:ind w:left="-107" w:right="-105" w:firstLine="0"/>
              <w:jc w:val="center"/>
              <w:cnfStyle w:val="000000100000" w:firstRow="0" w:lastRow="0" w:firstColumn="0" w:lastColumn="0" w:oddVBand="0" w:evenVBand="0" w:oddHBand="1" w:evenHBand="0" w:firstRowFirstColumn="0" w:firstRowLastColumn="0" w:lastRowFirstColumn="0" w:lastRowLastColumn="0"/>
              <w:rPr>
                <w:rFonts w:eastAsia="Times New Roman" w:cs="Arial"/>
                <w:sz w:val="20"/>
                <w:szCs w:val="20"/>
                <w:lang w:eastAsia="en-GB"/>
              </w:rPr>
            </w:pPr>
            <w:r w:rsidRPr="002F5954">
              <w:rPr>
                <w:rFonts w:cs="Calibri"/>
                <w:color w:val="000000"/>
                <w:sz w:val="20"/>
                <w:szCs w:val="20"/>
              </w:rPr>
              <w:t>8.68%</w:t>
            </w:r>
          </w:p>
        </w:tc>
      </w:tr>
    </w:tbl>
    <w:p w14:paraId="77BBF26D" w14:textId="03207AFF" w:rsidR="00072B7D" w:rsidRPr="00072B7D" w:rsidRDefault="00BC36D7" w:rsidP="00072B7D">
      <w:pPr>
        <w:pStyle w:val="ListParagraph"/>
        <w:spacing w:after="0"/>
        <w:ind w:left="360" w:firstLine="0"/>
        <w:jc w:val="left"/>
        <w:rPr>
          <w:b/>
          <w:sz w:val="22"/>
          <w:szCs w:val="22"/>
        </w:rPr>
      </w:pPr>
      <w:r w:rsidRPr="000C2EB7">
        <w:rPr>
          <w:b/>
          <w:color w:val="FF0000"/>
          <w:sz w:val="22"/>
          <w:szCs w:val="22"/>
        </w:rPr>
        <w:t xml:space="preserve"> </w:t>
      </w:r>
      <w:r w:rsidR="00547313" w:rsidRPr="000C2EB7">
        <w:rPr>
          <w:b/>
          <w:color w:val="FF0000"/>
          <w:sz w:val="22"/>
          <w:szCs w:val="22"/>
        </w:rPr>
        <w:t xml:space="preserve">  </w:t>
      </w:r>
    </w:p>
    <w:p w14:paraId="2836D349" w14:textId="122AF35B" w:rsidR="005D197E" w:rsidRPr="00F8060C" w:rsidRDefault="005D197E" w:rsidP="00F8060C">
      <w:pPr>
        <w:pStyle w:val="ListParagraph"/>
        <w:numPr>
          <w:ilvl w:val="0"/>
          <w:numId w:val="20"/>
        </w:numPr>
        <w:ind w:left="709" w:hanging="709"/>
        <w:contextualSpacing w:val="0"/>
        <w:jc w:val="left"/>
        <w:rPr>
          <w:b/>
          <w:sz w:val="22"/>
          <w:szCs w:val="22"/>
        </w:rPr>
      </w:pPr>
      <w:r w:rsidRPr="00120BED">
        <w:rPr>
          <w:b/>
          <w:sz w:val="22"/>
          <w:szCs w:val="22"/>
        </w:rPr>
        <w:t>Ukraine War</w:t>
      </w:r>
    </w:p>
    <w:p w14:paraId="721BA6AD" w14:textId="1B51D763" w:rsidR="005D197E" w:rsidRPr="0019692F" w:rsidRDefault="005D197E" w:rsidP="00F8060C">
      <w:pPr>
        <w:pStyle w:val="ListParagraph"/>
        <w:numPr>
          <w:ilvl w:val="1"/>
          <w:numId w:val="20"/>
        </w:numPr>
        <w:contextualSpacing w:val="0"/>
        <w:jc w:val="left"/>
        <w:rPr>
          <w:b/>
          <w:i/>
          <w:iCs/>
          <w:sz w:val="22"/>
          <w:szCs w:val="22"/>
        </w:rPr>
      </w:pPr>
      <w:r w:rsidRPr="0019692F">
        <w:rPr>
          <w:b/>
          <w:i/>
          <w:iCs/>
          <w:sz w:val="22"/>
          <w:szCs w:val="22"/>
        </w:rPr>
        <w:t xml:space="preserve">Refugees in the </w:t>
      </w:r>
      <w:r w:rsidR="00072B7D" w:rsidRPr="0019692F">
        <w:rPr>
          <w:b/>
          <w:i/>
          <w:iCs/>
          <w:sz w:val="22"/>
          <w:szCs w:val="22"/>
        </w:rPr>
        <w:t>D</w:t>
      </w:r>
      <w:r w:rsidRPr="0019692F">
        <w:rPr>
          <w:b/>
          <w:i/>
          <w:iCs/>
          <w:sz w:val="22"/>
          <w:szCs w:val="22"/>
        </w:rPr>
        <w:t>istrict</w:t>
      </w:r>
    </w:p>
    <w:p w14:paraId="5A139200" w14:textId="45016E19" w:rsidR="00120BED" w:rsidRPr="00F8060C" w:rsidRDefault="00910C21" w:rsidP="00F8060C">
      <w:pPr>
        <w:pStyle w:val="ListParagraph"/>
        <w:numPr>
          <w:ilvl w:val="3"/>
          <w:numId w:val="20"/>
        </w:numPr>
        <w:ind w:left="709" w:right="421" w:hanging="709"/>
        <w:contextualSpacing w:val="0"/>
        <w:jc w:val="left"/>
        <w:rPr>
          <w:bCs/>
          <w:sz w:val="22"/>
          <w:szCs w:val="22"/>
        </w:rPr>
      </w:pPr>
      <w:r>
        <w:rPr>
          <w:bCs/>
          <w:sz w:val="22"/>
          <w:szCs w:val="22"/>
        </w:rPr>
        <w:t xml:space="preserve">In </w:t>
      </w:r>
      <w:r w:rsidR="00B47913" w:rsidRPr="00120BED">
        <w:rPr>
          <w:bCs/>
          <w:sz w:val="22"/>
          <w:szCs w:val="22"/>
        </w:rPr>
        <w:t>September 2022, t</w:t>
      </w:r>
      <w:r w:rsidR="0036666E" w:rsidRPr="00120BED">
        <w:rPr>
          <w:bCs/>
          <w:sz w:val="22"/>
          <w:szCs w:val="22"/>
        </w:rPr>
        <w:t>he district</w:t>
      </w:r>
      <w:r w:rsidR="00C270DE" w:rsidRPr="00120BED">
        <w:rPr>
          <w:bCs/>
          <w:sz w:val="22"/>
          <w:szCs w:val="22"/>
        </w:rPr>
        <w:t xml:space="preserve"> </w:t>
      </w:r>
      <w:r w:rsidR="00B47913" w:rsidRPr="00120BED">
        <w:rPr>
          <w:bCs/>
          <w:sz w:val="22"/>
          <w:szCs w:val="22"/>
        </w:rPr>
        <w:t>was</w:t>
      </w:r>
      <w:r w:rsidR="00C270DE" w:rsidRPr="00120BED">
        <w:rPr>
          <w:bCs/>
          <w:sz w:val="22"/>
          <w:szCs w:val="22"/>
        </w:rPr>
        <w:t xml:space="preserve"> expecting </w:t>
      </w:r>
      <w:r w:rsidR="005B77A6" w:rsidRPr="00120BED">
        <w:rPr>
          <w:bCs/>
          <w:sz w:val="22"/>
          <w:szCs w:val="22"/>
        </w:rPr>
        <w:t xml:space="preserve">430 Ukrainian </w:t>
      </w:r>
      <w:r w:rsidR="00C270DE" w:rsidRPr="00120BED">
        <w:rPr>
          <w:bCs/>
          <w:sz w:val="22"/>
          <w:szCs w:val="22"/>
        </w:rPr>
        <w:t>guests</w:t>
      </w:r>
      <w:r>
        <w:rPr>
          <w:bCs/>
          <w:sz w:val="22"/>
          <w:szCs w:val="22"/>
        </w:rPr>
        <w:t>;</w:t>
      </w:r>
      <w:r w:rsidR="00B47913" w:rsidRPr="00120BED">
        <w:rPr>
          <w:bCs/>
          <w:sz w:val="22"/>
          <w:szCs w:val="22"/>
        </w:rPr>
        <w:t xml:space="preserve"> 261 of </w:t>
      </w:r>
      <w:r>
        <w:rPr>
          <w:bCs/>
          <w:sz w:val="22"/>
          <w:szCs w:val="22"/>
        </w:rPr>
        <w:t>these</w:t>
      </w:r>
      <w:r w:rsidR="00B47913" w:rsidRPr="00120BED">
        <w:rPr>
          <w:bCs/>
          <w:sz w:val="22"/>
          <w:szCs w:val="22"/>
        </w:rPr>
        <w:t xml:space="preserve"> had already arrived.</w:t>
      </w:r>
    </w:p>
    <w:p w14:paraId="6B009286" w14:textId="3C09F2F7" w:rsidR="00467E50" w:rsidRPr="00120BED" w:rsidRDefault="00467E50" w:rsidP="00F8060C">
      <w:pPr>
        <w:pStyle w:val="ListParagraph"/>
        <w:numPr>
          <w:ilvl w:val="3"/>
          <w:numId w:val="20"/>
        </w:numPr>
        <w:ind w:left="709" w:right="421" w:hanging="709"/>
        <w:contextualSpacing w:val="0"/>
        <w:jc w:val="left"/>
        <w:rPr>
          <w:bCs/>
          <w:sz w:val="22"/>
          <w:szCs w:val="22"/>
        </w:rPr>
      </w:pPr>
      <w:r w:rsidRPr="00120BED">
        <w:rPr>
          <w:bCs/>
          <w:sz w:val="22"/>
          <w:szCs w:val="22"/>
        </w:rPr>
        <w:t>Figure</w:t>
      </w:r>
      <w:r w:rsidR="00360F81" w:rsidRPr="00120BED">
        <w:rPr>
          <w:bCs/>
          <w:sz w:val="22"/>
          <w:szCs w:val="22"/>
        </w:rPr>
        <w:t xml:space="preserve"> 1</w:t>
      </w:r>
      <w:r w:rsidR="001E3DEB">
        <w:rPr>
          <w:bCs/>
          <w:sz w:val="22"/>
          <w:szCs w:val="22"/>
        </w:rPr>
        <w:t>7</w:t>
      </w:r>
      <w:r w:rsidRPr="00120BED">
        <w:rPr>
          <w:bCs/>
          <w:sz w:val="22"/>
          <w:szCs w:val="22"/>
        </w:rPr>
        <w:t xml:space="preserve"> below shows where in the district these guests are to be located.</w:t>
      </w:r>
    </w:p>
    <w:p w14:paraId="4D6EA446" w14:textId="37D0E016" w:rsidR="00731709" w:rsidRDefault="00731709" w:rsidP="00F8060C">
      <w:pPr>
        <w:ind w:left="709" w:right="421" w:firstLine="0"/>
        <w:jc w:val="left"/>
        <w:rPr>
          <w:bCs/>
          <w:sz w:val="22"/>
          <w:szCs w:val="22"/>
        </w:rPr>
      </w:pPr>
      <w:r w:rsidRPr="00120BED">
        <w:rPr>
          <w:bCs/>
          <w:sz w:val="22"/>
          <w:szCs w:val="22"/>
        </w:rPr>
        <w:t xml:space="preserve">The largest number – 33 – are to be </w:t>
      </w:r>
      <w:r w:rsidR="00AA4958" w:rsidRPr="00120BED">
        <w:rPr>
          <w:bCs/>
          <w:sz w:val="22"/>
          <w:szCs w:val="22"/>
        </w:rPr>
        <w:t>home</w:t>
      </w:r>
      <w:r w:rsidR="003B6047" w:rsidRPr="00120BED">
        <w:rPr>
          <w:bCs/>
          <w:sz w:val="22"/>
          <w:szCs w:val="22"/>
        </w:rPr>
        <w:t>d</w:t>
      </w:r>
      <w:r w:rsidR="00F106B0" w:rsidRPr="00120BED">
        <w:rPr>
          <w:bCs/>
          <w:sz w:val="22"/>
          <w:szCs w:val="22"/>
        </w:rPr>
        <w:t xml:space="preserve"> in Welford-on-Avon</w:t>
      </w:r>
      <w:r w:rsidR="003B6047" w:rsidRPr="00120BED">
        <w:rPr>
          <w:bCs/>
          <w:sz w:val="22"/>
          <w:szCs w:val="22"/>
        </w:rPr>
        <w:t xml:space="preserve">, with 28 </w:t>
      </w:r>
      <w:r w:rsidR="00120BED" w:rsidRPr="00120BED">
        <w:rPr>
          <w:bCs/>
          <w:sz w:val="22"/>
          <w:szCs w:val="22"/>
        </w:rPr>
        <w:t>in Henley-in-Arden and 25 in Snitterfield.</w:t>
      </w:r>
    </w:p>
    <w:p w14:paraId="2A077748" w14:textId="77777777" w:rsidR="003A0454" w:rsidRDefault="003A0454" w:rsidP="00072B7D">
      <w:pPr>
        <w:spacing w:after="0"/>
        <w:ind w:left="851" w:hanging="851"/>
        <w:jc w:val="left"/>
        <w:rPr>
          <w:bCs/>
          <w:sz w:val="22"/>
          <w:szCs w:val="22"/>
        </w:rPr>
      </w:pPr>
    </w:p>
    <w:p w14:paraId="03F3F283" w14:textId="77777777" w:rsidR="00072B7D" w:rsidRDefault="00072B7D" w:rsidP="00E761A1">
      <w:pPr>
        <w:pStyle w:val="Caption"/>
      </w:pPr>
    </w:p>
    <w:p w14:paraId="05099C11" w14:textId="77777777" w:rsidR="00072B7D" w:rsidRDefault="00072B7D" w:rsidP="00E761A1">
      <w:pPr>
        <w:pStyle w:val="Caption"/>
      </w:pPr>
    </w:p>
    <w:p w14:paraId="23D55670" w14:textId="77777777" w:rsidR="00072B7D" w:rsidRDefault="00072B7D" w:rsidP="00E761A1">
      <w:pPr>
        <w:pStyle w:val="Caption"/>
      </w:pPr>
    </w:p>
    <w:p w14:paraId="18D92E97" w14:textId="77777777" w:rsidR="00C62532" w:rsidRDefault="00C62532" w:rsidP="008D7D3E">
      <w:pPr>
        <w:pStyle w:val="Caption"/>
        <w:ind w:hanging="11"/>
        <w:rPr>
          <w:i w:val="0"/>
          <w:iCs w:val="0"/>
          <w:color w:val="auto"/>
          <w:sz w:val="22"/>
          <w:szCs w:val="22"/>
        </w:rPr>
      </w:pPr>
    </w:p>
    <w:p w14:paraId="6326D66D" w14:textId="77777777" w:rsidR="00C62532" w:rsidRDefault="00C62532" w:rsidP="008D7D3E">
      <w:pPr>
        <w:pStyle w:val="Caption"/>
        <w:ind w:hanging="11"/>
        <w:rPr>
          <w:i w:val="0"/>
          <w:iCs w:val="0"/>
          <w:color w:val="auto"/>
          <w:sz w:val="22"/>
          <w:szCs w:val="22"/>
        </w:rPr>
      </w:pPr>
    </w:p>
    <w:p w14:paraId="7AD72037" w14:textId="77777777" w:rsidR="00C62532" w:rsidRDefault="00C62532" w:rsidP="008D7D3E">
      <w:pPr>
        <w:pStyle w:val="Caption"/>
        <w:ind w:hanging="11"/>
        <w:rPr>
          <w:i w:val="0"/>
          <w:iCs w:val="0"/>
          <w:color w:val="auto"/>
          <w:sz w:val="22"/>
          <w:szCs w:val="22"/>
        </w:rPr>
      </w:pPr>
    </w:p>
    <w:p w14:paraId="3F0BBCDF" w14:textId="77777777" w:rsidR="00C62532" w:rsidRDefault="00C62532" w:rsidP="008D7D3E">
      <w:pPr>
        <w:pStyle w:val="Caption"/>
        <w:ind w:hanging="11"/>
        <w:rPr>
          <w:i w:val="0"/>
          <w:iCs w:val="0"/>
          <w:color w:val="auto"/>
          <w:sz w:val="22"/>
          <w:szCs w:val="22"/>
        </w:rPr>
      </w:pPr>
    </w:p>
    <w:p w14:paraId="48671DBC" w14:textId="77777777" w:rsidR="00C62532" w:rsidRDefault="00C62532" w:rsidP="008D7D3E">
      <w:pPr>
        <w:pStyle w:val="Caption"/>
        <w:ind w:hanging="11"/>
        <w:rPr>
          <w:i w:val="0"/>
          <w:iCs w:val="0"/>
          <w:color w:val="auto"/>
          <w:sz w:val="22"/>
          <w:szCs w:val="22"/>
        </w:rPr>
      </w:pPr>
    </w:p>
    <w:p w14:paraId="72B9C7E0" w14:textId="4059999E" w:rsidR="00E761A1" w:rsidRPr="008D7D3E" w:rsidRDefault="00E761A1" w:rsidP="008D7D3E">
      <w:pPr>
        <w:pStyle w:val="Caption"/>
        <w:ind w:hanging="11"/>
        <w:rPr>
          <w:i w:val="0"/>
          <w:iCs w:val="0"/>
          <w:noProof/>
          <w:color w:val="auto"/>
          <w:sz w:val="22"/>
          <w:szCs w:val="22"/>
        </w:rPr>
      </w:pPr>
      <w:r w:rsidRPr="008D7D3E">
        <w:rPr>
          <w:i w:val="0"/>
          <w:iCs w:val="0"/>
          <w:color w:val="auto"/>
          <w:sz w:val="22"/>
          <w:szCs w:val="22"/>
        </w:rPr>
        <w:lastRenderedPageBreak/>
        <w:t xml:space="preserve">Figure </w:t>
      </w:r>
      <w:r w:rsidR="00F61229" w:rsidRPr="008D7D3E">
        <w:rPr>
          <w:i w:val="0"/>
          <w:iCs w:val="0"/>
          <w:color w:val="auto"/>
          <w:sz w:val="22"/>
          <w:szCs w:val="22"/>
        </w:rPr>
        <w:fldChar w:fldCharType="begin"/>
      </w:r>
      <w:r w:rsidR="00F61229" w:rsidRPr="008D7D3E">
        <w:rPr>
          <w:i w:val="0"/>
          <w:iCs w:val="0"/>
          <w:color w:val="auto"/>
          <w:sz w:val="22"/>
          <w:szCs w:val="22"/>
        </w:rPr>
        <w:instrText xml:space="preserve"> SEQ Figure \* ARABIC </w:instrText>
      </w:r>
      <w:r w:rsidR="00F61229" w:rsidRPr="008D7D3E">
        <w:rPr>
          <w:i w:val="0"/>
          <w:iCs w:val="0"/>
          <w:color w:val="auto"/>
          <w:sz w:val="22"/>
          <w:szCs w:val="22"/>
        </w:rPr>
        <w:fldChar w:fldCharType="separate"/>
      </w:r>
      <w:r w:rsidRPr="008D7D3E">
        <w:rPr>
          <w:i w:val="0"/>
          <w:iCs w:val="0"/>
          <w:noProof/>
          <w:color w:val="auto"/>
          <w:sz w:val="22"/>
          <w:szCs w:val="22"/>
        </w:rPr>
        <w:t>17</w:t>
      </w:r>
      <w:r w:rsidR="00F61229" w:rsidRPr="008D7D3E">
        <w:rPr>
          <w:i w:val="0"/>
          <w:iCs w:val="0"/>
          <w:noProof/>
          <w:color w:val="auto"/>
          <w:sz w:val="22"/>
          <w:szCs w:val="22"/>
        </w:rPr>
        <w:fldChar w:fldCharType="end"/>
      </w:r>
    </w:p>
    <w:p w14:paraId="7AF9CFCD" w14:textId="63BFB148" w:rsidR="00E761A1" w:rsidRPr="00120BED" w:rsidRDefault="00E761A1" w:rsidP="00E51A45">
      <w:pPr>
        <w:spacing w:after="0"/>
        <w:ind w:left="0" w:firstLine="0"/>
        <w:jc w:val="center"/>
        <w:rPr>
          <w:bCs/>
          <w:sz w:val="22"/>
          <w:szCs w:val="22"/>
        </w:rPr>
      </w:pPr>
      <w:r w:rsidRPr="00910C21">
        <w:rPr>
          <w:noProof/>
        </w:rPr>
        <w:drawing>
          <wp:inline distT="0" distB="0" distL="0" distR="0" wp14:anchorId="4C01109D" wp14:editId="43971EBF">
            <wp:extent cx="4667250" cy="527471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4674789" cy="5283232"/>
                    </a:xfrm>
                    <a:prstGeom prst="rect">
                      <a:avLst/>
                    </a:prstGeom>
                  </pic:spPr>
                </pic:pic>
              </a:graphicData>
            </a:graphic>
          </wp:inline>
        </w:drawing>
      </w:r>
    </w:p>
    <w:p w14:paraId="2592C9A0" w14:textId="77777777" w:rsidR="00072B7D" w:rsidRPr="00072B7D" w:rsidRDefault="00072B7D" w:rsidP="00072B7D">
      <w:pPr>
        <w:spacing w:after="0"/>
        <w:ind w:left="0" w:firstLine="0"/>
        <w:jc w:val="left"/>
        <w:rPr>
          <w:bCs/>
          <w:sz w:val="22"/>
          <w:szCs w:val="22"/>
        </w:rPr>
      </w:pPr>
    </w:p>
    <w:p w14:paraId="7A285BFF" w14:textId="3DA86061" w:rsidR="00E761A1" w:rsidRPr="00F8060C" w:rsidRDefault="00C03EBB" w:rsidP="00F8060C">
      <w:pPr>
        <w:pStyle w:val="ListParagraph"/>
        <w:numPr>
          <w:ilvl w:val="3"/>
          <w:numId w:val="20"/>
        </w:numPr>
        <w:ind w:left="709" w:right="421" w:hanging="709"/>
        <w:contextualSpacing w:val="0"/>
        <w:jc w:val="left"/>
        <w:rPr>
          <w:bCs/>
          <w:sz w:val="22"/>
          <w:szCs w:val="22"/>
        </w:rPr>
      </w:pPr>
      <w:r>
        <w:rPr>
          <w:bCs/>
          <w:sz w:val="22"/>
          <w:szCs w:val="22"/>
        </w:rPr>
        <w:t xml:space="preserve"> </w:t>
      </w:r>
      <w:r w:rsidR="00FD68F5" w:rsidRPr="00910C21">
        <w:rPr>
          <w:bCs/>
          <w:sz w:val="22"/>
          <w:szCs w:val="22"/>
        </w:rPr>
        <w:t>39 school places have been offered</w:t>
      </w:r>
      <w:r w:rsidR="00FE628A" w:rsidRPr="00910C21">
        <w:rPr>
          <w:bCs/>
          <w:sz w:val="22"/>
          <w:szCs w:val="22"/>
        </w:rPr>
        <w:t xml:space="preserve"> with a potential total of 78 needed.</w:t>
      </w:r>
    </w:p>
    <w:p w14:paraId="73085A85" w14:textId="7039286B" w:rsidR="00E74554" w:rsidRPr="00F8060C" w:rsidRDefault="00E74554" w:rsidP="00F8060C">
      <w:pPr>
        <w:pStyle w:val="ListParagraph"/>
        <w:numPr>
          <w:ilvl w:val="0"/>
          <w:numId w:val="12"/>
        </w:numPr>
        <w:ind w:left="709" w:hanging="709"/>
        <w:contextualSpacing w:val="0"/>
        <w:jc w:val="left"/>
        <w:rPr>
          <w:b/>
          <w:sz w:val="22"/>
          <w:szCs w:val="22"/>
        </w:rPr>
      </w:pPr>
      <w:r>
        <w:rPr>
          <w:b/>
          <w:sz w:val="22"/>
          <w:szCs w:val="22"/>
        </w:rPr>
        <w:t>Stratford District Council Residents Survey 2022</w:t>
      </w:r>
    </w:p>
    <w:p w14:paraId="0E64B802" w14:textId="5C55610E" w:rsidR="00300FF8" w:rsidRPr="00072B7D" w:rsidRDefault="00300FF8" w:rsidP="00F8060C">
      <w:pPr>
        <w:pStyle w:val="ListParagraph"/>
        <w:numPr>
          <w:ilvl w:val="1"/>
          <w:numId w:val="12"/>
        </w:numPr>
        <w:ind w:right="421"/>
        <w:contextualSpacing w:val="0"/>
        <w:rPr>
          <w:sz w:val="22"/>
          <w:szCs w:val="22"/>
        </w:rPr>
      </w:pPr>
      <w:r w:rsidRPr="00072B7D">
        <w:rPr>
          <w:sz w:val="22"/>
          <w:szCs w:val="22"/>
        </w:rPr>
        <w:t xml:space="preserve">The </w:t>
      </w:r>
      <w:r w:rsidRPr="00072B7D">
        <w:rPr>
          <w:i/>
          <w:sz w:val="22"/>
          <w:szCs w:val="22"/>
        </w:rPr>
        <w:t>Stratford-on-Avon District Council Residents’ Survey 2022</w:t>
      </w:r>
      <w:r w:rsidRPr="00072B7D">
        <w:rPr>
          <w:b/>
          <w:sz w:val="22"/>
          <w:szCs w:val="22"/>
        </w:rPr>
        <w:t xml:space="preserve"> </w:t>
      </w:r>
      <w:r w:rsidRPr="00072B7D">
        <w:rPr>
          <w:sz w:val="22"/>
          <w:szCs w:val="22"/>
        </w:rPr>
        <w:t>undertaken from February to April 2022 with 1,875 responses</w:t>
      </w:r>
      <w:r w:rsidRPr="00072B7D">
        <w:rPr>
          <w:b/>
          <w:sz w:val="22"/>
          <w:szCs w:val="22"/>
        </w:rPr>
        <w:t xml:space="preserve"> </w:t>
      </w:r>
      <w:r w:rsidRPr="00072B7D">
        <w:rPr>
          <w:sz w:val="22"/>
          <w:szCs w:val="22"/>
        </w:rPr>
        <w:t>concluded that:</w:t>
      </w:r>
    </w:p>
    <w:p w14:paraId="6B752CC0" w14:textId="3D88A481" w:rsidR="00CB645C" w:rsidRPr="00C62532"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C62532">
        <w:rPr>
          <w:rFonts w:eastAsia="Verdana"/>
          <w:sz w:val="22"/>
          <w:szCs w:val="22"/>
          <w:lang w:eastAsia="en-GB" w:bidi="en-GB"/>
        </w:rPr>
        <w:t>86% of those surveyed are satisfied with their local area as a place to live, down five percentage points on 2019</w:t>
      </w:r>
      <w:r w:rsidR="00F8060C" w:rsidRPr="00C62532">
        <w:rPr>
          <w:rFonts w:eastAsia="Verdana"/>
          <w:sz w:val="22"/>
          <w:szCs w:val="22"/>
          <w:lang w:eastAsia="en-GB" w:bidi="en-GB"/>
        </w:rPr>
        <w:t>.</w:t>
      </w:r>
    </w:p>
    <w:p w14:paraId="330DE10A" w14:textId="77777777" w:rsidR="005B46C2" w:rsidRPr="00072B7D"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Residents were asked to say what were the five most important things making somewhere a good place to live. The top five in the District were: the level of crime (58%); health services (58%); access to the countryside (41%); clean streets (35%) and affordable decent housing (30%). Health services were considered the most important factor in three of the six localities: Alcester/Bidford, Stratford, and Wellesbourne/Kineton. Level of crime was considered the most important factor in the other three: Henley/Studley, Southam and Shipston.</w:t>
      </w:r>
    </w:p>
    <w:p w14:paraId="00FA29D1" w14:textId="6196D92F"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lastRenderedPageBreak/>
        <w:t xml:space="preserve">Residents were asked to think about their local area and indicate up to five things that most need improving. The top five improvements were: road and pavement repairs (48%); the level of traffic congestion (43%); activities for teenagers (33%); affordable decent housing (30%) and public transport (29%). </w:t>
      </w:r>
      <w:r w:rsidRPr="00072B7D">
        <w:rPr>
          <w:rFonts w:eastAsia="Verdana"/>
          <w:bCs/>
          <w:sz w:val="22"/>
          <w:szCs w:val="22"/>
          <w:lang w:eastAsia="en-GB" w:bidi="en-GB"/>
        </w:rPr>
        <w:t>Road and pavement repairs</w:t>
      </w:r>
      <w:r w:rsidRPr="00072B7D">
        <w:rPr>
          <w:rFonts w:eastAsia="Verdana"/>
          <w:sz w:val="22"/>
          <w:szCs w:val="22"/>
          <w:lang w:eastAsia="en-GB" w:bidi="en-GB"/>
        </w:rPr>
        <w:t xml:space="preserve"> were the factor requiring most improvement in Alcester/Bidford, Henley/Studley, Shipston, Southam and Wellesbourne/Kineton localities, with </w:t>
      </w:r>
      <w:r w:rsidRPr="00072B7D">
        <w:rPr>
          <w:rFonts w:eastAsia="Verdana"/>
          <w:bCs/>
          <w:sz w:val="22"/>
          <w:szCs w:val="22"/>
          <w:lang w:eastAsia="en-GB" w:bidi="en-GB"/>
        </w:rPr>
        <w:t>the level of traffic congestion in Stratford</w:t>
      </w:r>
      <w:r w:rsidRPr="00072B7D">
        <w:rPr>
          <w:rFonts w:eastAsia="Verdana"/>
          <w:sz w:val="22"/>
          <w:szCs w:val="22"/>
          <w:lang w:eastAsia="en-GB" w:bidi="en-GB"/>
        </w:rPr>
        <w:t xml:space="preserve"> being most important.</w:t>
      </w:r>
    </w:p>
    <w:p w14:paraId="0CEC3597" w14:textId="1B00FF0C"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72% of respondents felt very or fairly strongly that they belong to their immediate neighbourhood, down three percentage points on 2019.</w:t>
      </w:r>
    </w:p>
    <w:p w14:paraId="46F9B6C4" w14:textId="15139D62"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 xml:space="preserve">54% of respondents tend to agree or definitely agree that their local area is a place where people from different backgrounds get on well together. </w:t>
      </w:r>
    </w:p>
    <w:p w14:paraId="1BF8C1CD" w14:textId="5E78179F" w:rsidR="005B46C2" w:rsidRPr="00F8060C" w:rsidRDefault="005B46C2" w:rsidP="009850CD">
      <w:pPr>
        <w:pStyle w:val="NoSpacing"/>
        <w:numPr>
          <w:ilvl w:val="0"/>
          <w:numId w:val="28"/>
        </w:numPr>
        <w:spacing w:after="120"/>
        <w:ind w:left="1134" w:right="421" w:hanging="425"/>
        <w:jc w:val="left"/>
        <w:rPr>
          <w:sz w:val="22"/>
          <w:szCs w:val="22"/>
        </w:rPr>
      </w:pPr>
      <w:r w:rsidRPr="00072B7D">
        <w:rPr>
          <w:sz w:val="22"/>
          <w:szCs w:val="22"/>
        </w:rPr>
        <w:t xml:space="preserve">77% of respondents felt that their local area economy was </w:t>
      </w:r>
      <w:r w:rsidR="007913C7">
        <w:rPr>
          <w:sz w:val="22"/>
          <w:szCs w:val="22"/>
        </w:rPr>
        <w:t>okay</w:t>
      </w:r>
      <w:r w:rsidRPr="00072B7D">
        <w:rPr>
          <w:sz w:val="22"/>
          <w:szCs w:val="22"/>
        </w:rPr>
        <w:t xml:space="preserve"> or better, while 23% felt it could be better or was really struggling. This slightly worse picture than 2019, when 79% thought their local economy was </w:t>
      </w:r>
      <w:r w:rsidR="00C23413">
        <w:rPr>
          <w:sz w:val="22"/>
          <w:szCs w:val="22"/>
        </w:rPr>
        <w:t>okay</w:t>
      </w:r>
      <w:r w:rsidRPr="00072B7D">
        <w:rPr>
          <w:sz w:val="22"/>
          <w:szCs w:val="22"/>
        </w:rPr>
        <w:t xml:space="preserve"> or better, and 21% felt it could be better or was really struggling.</w:t>
      </w:r>
    </w:p>
    <w:p w14:paraId="0ADBBEF7" w14:textId="12234E41"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 xml:space="preserve">31% agree that they can influence decisions affecting their local area. </w:t>
      </w:r>
    </w:p>
    <w:p w14:paraId="62A35A56" w14:textId="54A82383"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 xml:space="preserve">41% of respondents tend to or strongly agree that Stratford District Council provides value for money. </w:t>
      </w:r>
    </w:p>
    <w:p w14:paraId="7958F135" w14:textId="028D62E9"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 xml:space="preserve">63% of respondents agree a great deal or to some extent that Stratford District Council is making the local area a better place to live. </w:t>
      </w:r>
    </w:p>
    <w:p w14:paraId="4E1C966C" w14:textId="0A6726AF"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 xml:space="preserve">54% of respondents agree a great deal or to some extent that Stratford District Council is working to make the area safer. This is up three percentage points on 2019. </w:t>
      </w:r>
    </w:p>
    <w:p w14:paraId="1D2A5530" w14:textId="6F12FC8D"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 xml:space="preserve">58% of residents agree a great deal or to some extent that Stratford District Council is working to make the area cleaner and greener, a fall of two percentage points on 2019. </w:t>
      </w:r>
    </w:p>
    <w:p w14:paraId="7B13A794" w14:textId="653B9667"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33% agreed a great deal or to some extent that SDC involves residents when making decisions.</w:t>
      </w:r>
    </w:p>
    <w:p w14:paraId="69B19E42" w14:textId="4914B0F2"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 xml:space="preserve">34% of respondents felt agreed that SDC acts on residents’ concerns a great deal or to some extent, down two percentage points on 2019. </w:t>
      </w:r>
    </w:p>
    <w:p w14:paraId="54EADFD4" w14:textId="1A6EC088"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57% of respondents felt that SDC keeps residents very or quite well informed about services and benefits. This sentiment has remained fairly static over the last ten years.</w:t>
      </w:r>
    </w:p>
    <w:p w14:paraId="0C7610A9" w14:textId="6D4A5A01"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61% of respondents are fairly or very satisfied with the way Stratford District Council runs things, a fall of 10 percentage points on 2019.</w:t>
      </w:r>
    </w:p>
    <w:p w14:paraId="7D45B31F" w14:textId="40045124" w:rsidR="005B46C2"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 xml:space="preserve">62% of respondents said that they were very or fairly satisfied with the way SDC kept public land clear of litter and refuse.  83% of residents were very or fairly satisfied with refuse collection in the district. 72% of residents were very or fairly satisfied with doorstep recycling. 71% of residents felt very or fairly satisfied with the parks and open spaces provided by SDC, a slight fall of three percentage points on 2019. </w:t>
      </w:r>
    </w:p>
    <w:p w14:paraId="6E926FA1" w14:textId="3B31D1B0"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lastRenderedPageBreak/>
        <w:t xml:space="preserve">59% of those surveyed were satisfied with the play areas provided by SDC. This is seven percentage points lower than 2019. 46% of respondents were satisfied with car parking provided by SDC, up five percentage points on 2019 and the highest score recorded over the last ten years. 39% of those surveyed were satisfied with the public toilets provided by SDC, up one percentage point on 2019, and the second highest score seen across the last five surveys. 59% of respondents were satisfied with grass cutting, the same score as 2019. Satisfaction with the way SDC process planning applications has been falling over the past ten years, with 23% of respondents expressing satisfaction.  </w:t>
      </w:r>
    </w:p>
    <w:p w14:paraId="38392015" w14:textId="0D730CF6"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69% said they felt either fairly or very safe after dark; this is a lower score than the previous four surveys. 93% of residents felt fairly or very safe during the day.</w:t>
      </w:r>
    </w:p>
    <w:p w14:paraId="016DC555" w14:textId="783B6EF7" w:rsidR="005B46C2"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The biggest problems in terms of anti-social behaviour were dog fouling and fly tipping, with both seeing 42%</w:t>
      </w:r>
      <w:r w:rsidR="007E04A4">
        <w:rPr>
          <w:rFonts w:eastAsia="Verdana"/>
          <w:sz w:val="22"/>
          <w:szCs w:val="22"/>
          <w:lang w:eastAsia="en-GB" w:bidi="en-GB"/>
        </w:rPr>
        <w:t xml:space="preserve"> of</w:t>
      </w:r>
      <w:r w:rsidRPr="00072B7D">
        <w:rPr>
          <w:rFonts w:eastAsia="Verdana"/>
          <w:sz w:val="22"/>
          <w:szCs w:val="22"/>
          <w:lang w:eastAsia="en-GB" w:bidi="en-GB"/>
        </w:rPr>
        <w:t xml:space="preserve"> respondents saying that they were a very or a fairly big problem. </w:t>
      </w:r>
    </w:p>
    <w:p w14:paraId="7A61BB40" w14:textId="1169FED7" w:rsidR="005B46C2" w:rsidRPr="00F8060C" w:rsidRDefault="005B46C2" w:rsidP="009850CD">
      <w:pPr>
        <w:pStyle w:val="NoSpacing"/>
        <w:numPr>
          <w:ilvl w:val="0"/>
          <w:numId w:val="28"/>
        </w:numPr>
        <w:spacing w:after="120"/>
        <w:ind w:left="1134" w:right="421" w:hanging="425"/>
        <w:jc w:val="left"/>
        <w:rPr>
          <w:sz w:val="22"/>
          <w:szCs w:val="22"/>
          <w:lang w:eastAsia="en-GB" w:bidi="en-GB"/>
        </w:rPr>
      </w:pPr>
      <w:r w:rsidRPr="00072B7D">
        <w:rPr>
          <w:rFonts w:eastAsia="Verdana"/>
          <w:sz w:val="22"/>
          <w:szCs w:val="22"/>
          <w:lang w:eastAsia="en-GB" w:bidi="en-GB"/>
        </w:rPr>
        <w:t xml:space="preserve">69% of residents were fairly or very satisfied with the service they received the last time they made contact with the Council. This represents a fall of three percentage points on 2019. </w:t>
      </w:r>
    </w:p>
    <w:p w14:paraId="522B8271" w14:textId="020AB3CC" w:rsidR="00E74554" w:rsidRPr="00F8060C" w:rsidRDefault="005B46C2" w:rsidP="009850CD">
      <w:pPr>
        <w:pStyle w:val="NoSpacing"/>
        <w:numPr>
          <w:ilvl w:val="0"/>
          <w:numId w:val="28"/>
        </w:numPr>
        <w:spacing w:after="120"/>
        <w:ind w:left="1134" w:right="421" w:hanging="425"/>
        <w:jc w:val="left"/>
        <w:rPr>
          <w:rFonts w:eastAsia="Verdana"/>
          <w:sz w:val="22"/>
          <w:szCs w:val="22"/>
          <w:lang w:eastAsia="en-GB" w:bidi="en-GB"/>
        </w:rPr>
      </w:pPr>
      <w:r w:rsidRPr="00072B7D">
        <w:rPr>
          <w:rFonts w:eastAsia="Verdana"/>
          <w:sz w:val="22"/>
          <w:szCs w:val="22"/>
          <w:lang w:eastAsia="en-GB" w:bidi="en-GB"/>
        </w:rPr>
        <w:t>76% of residents confirmed that they found it fairly or very easy to access SDC services in the last 12 months, down one percentage point on 2019.</w:t>
      </w:r>
    </w:p>
    <w:p w14:paraId="68CD7246" w14:textId="490C1A81" w:rsidR="00270D2F" w:rsidRPr="00F8060C" w:rsidRDefault="0076561D" w:rsidP="00F8060C">
      <w:pPr>
        <w:pStyle w:val="ListParagraph"/>
        <w:numPr>
          <w:ilvl w:val="0"/>
          <w:numId w:val="12"/>
        </w:numPr>
        <w:ind w:left="709" w:hanging="709"/>
        <w:contextualSpacing w:val="0"/>
        <w:jc w:val="left"/>
        <w:rPr>
          <w:b/>
          <w:sz w:val="22"/>
          <w:szCs w:val="22"/>
        </w:rPr>
      </w:pPr>
      <w:r w:rsidRPr="00270D2F">
        <w:rPr>
          <w:b/>
          <w:sz w:val="22"/>
          <w:szCs w:val="22"/>
        </w:rPr>
        <w:t xml:space="preserve">Achievements/Key Events during </w:t>
      </w:r>
      <w:r w:rsidR="002578C5" w:rsidRPr="00270D2F">
        <w:rPr>
          <w:b/>
          <w:sz w:val="22"/>
          <w:szCs w:val="22"/>
        </w:rPr>
        <w:t>202</w:t>
      </w:r>
      <w:r w:rsidR="00270D2F">
        <w:rPr>
          <w:b/>
          <w:sz w:val="22"/>
          <w:szCs w:val="22"/>
        </w:rPr>
        <w:t>1</w:t>
      </w:r>
      <w:r w:rsidR="002578C5" w:rsidRPr="00270D2F">
        <w:rPr>
          <w:b/>
          <w:sz w:val="22"/>
          <w:szCs w:val="22"/>
        </w:rPr>
        <w:t>/</w:t>
      </w:r>
      <w:r w:rsidR="00270D2F">
        <w:rPr>
          <w:b/>
          <w:sz w:val="22"/>
          <w:szCs w:val="22"/>
        </w:rPr>
        <w:t>22</w:t>
      </w:r>
    </w:p>
    <w:p w14:paraId="6C393BCE" w14:textId="49314F8A" w:rsidR="003A43EB" w:rsidRPr="00F8060C" w:rsidRDefault="003A43EB" w:rsidP="00F8060C">
      <w:pPr>
        <w:pStyle w:val="ListParagraph"/>
        <w:numPr>
          <w:ilvl w:val="1"/>
          <w:numId w:val="12"/>
        </w:numPr>
        <w:ind w:right="421"/>
        <w:contextualSpacing w:val="0"/>
        <w:jc w:val="left"/>
        <w:rPr>
          <w:sz w:val="22"/>
          <w:szCs w:val="22"/>
        </w:rPr>
      </w:pPr>
      <w:r w:rsidRPr="00787D4E">
        <w:rPr>
          <w:sz w:val="22"/>
          <w:szCs w:val="22"/>
        </w:rPr>
        <w:t>The Council started to implement the Council Plan during 2019/20, and this was continued during the last year. The Council Plan is an ambitious programme that summarised the overall vision for the Council and highlighted the key ambitions and objectives for our communities as follows:</w:t>
      </w:r>
    </w:p>
    <w:p w14:paraId="38384E2E" w14:textId="55A4EFED" w:rsidR="003A43EB" w:rsidRPr="0019692F" w:rsidRDefault="003A43EB" w:rsidP="00F8060C">
      <w:pPr>
        <w:ind w:right="421" w:hanging="11"/>
        <w:jc w:val="left"/>
        <w:rPr>
          <w:b/>
          <w:i/>
          <w:iCs/>
          <w:sz w:val="22"/>
          <w:szCs w:val="22"/>
        </w:rPr>
      </w:pPr>
      <w:r w:rsidRPr="0019692F">
        <w:rPr>
          <w:b/>
          <w:i/>
          <w:iCs/>
          <w:sz w:val="22"/>
          <w:szCs w:val="22"/>
        </w:rPr>
        <w:t>Stratford-on-Avon District Council Vision</w:t>
      </w:r>
    </w:p>
    <w:p w14:paraId="631BFD65"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sz w:val="22"/>
          <w:szCs w:val="22"/>
          <w:lang w:val="en" w:eastAsia="en-GB"/>
        </w:rPr>
        <w:t>We are ambitious for the future of the District as an excellent place to live, work, learn, visit and invest.</w:t>
      </w:r>
    </w:p>
    <w:p w14:paraId="43D4FEDB"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sz w:val="22"/>
          <w:szCs w:val="22"/>
          <w:lang w:val="en" w:eastAsia="en-GB"/>
        </w:rPr>
        <w:t>The plan sets out our vision for Stratford-on-Avon District as a place in 2030 and for local government in 2030.</w:t>
      </w:r>
    </w:p>
    <w:p w14:paraId="5D41F85D"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sz w:val="22"/>
          <w:szCs w:val="22"/>
          <w:lang w:val="en" w:eastAsia="en-GB"/>
        </w:rPr>
        <w:t>The core of the plan is a set of ambitions and actions for the Council over the next four years under five key objectives:</w:t>
      </w:r>
    </w:p>
    <w:p w14:paraId="46E1FBB3" w14:textId="77777777" w:rsidR="003A43EB" w:rsidRPr="00787D4E" w:rsidRDefault="003A43EB" w:rsidP="00F8060C">
      <w:pPr>
        <w:numPr>
          <w:ilvl w:val="0"/>
          <w:numId w:val="11"/>
        </w:numPr>
        <w:shd w:val="clear" w:color="auto" w:fill="FFFFFF"/>
        <w:ind w:left="709" w:right="421" w:firstLine="0"/>
        <w:jc w:val="left"/>
        <w:rPr>
          <w:rFonts w:cs="Arial"/>
          <w:sz w:val="22"/>
          <w:szCs w:val="22"/>
          <w:lang w:val="en" w:eastAsia="en-GB"/>
        </w:rPr>
      </w:pPr>
      <w:r w:rsidRPr="00787D4E">
        <w:rPr>
          <w:rFonts w:cs="Arial"/>
          <w:sz w:val="22"/>
          <w:szCs w:val="22"/>
          <w:lang w:val="en" w:eastAsia="en-GB"/>
        </w:rPr>
        <w:t>Working on regional, national and international stages</w:t>
      </w:r>
    </w:p>
    <w:p w14:paraId="6681DBCA" w14:textId="77777777" w:rsidR="003A43EB" w:rsidRPr="00787D4E" w:rsidRDefault="003A43EB" w:rsidP="00F8060C">
      <w:pPr>
        <w:numPr>
          <w:ilvl w:val="0"/>
          <w:numId w:val="11"/>
        </w:numPr>
        <w:shd w:val="clear" w:color="auto" w:fill="FFFFFF"/>
        <w:ind w:left="709" w:right="421" w:firstLine="0"/>
        <w:jc w:val="left"/>
        <w:rPr>
          <w:rFonts w:cs="Arial"/>
          <w:sz w:val="22"/>
          <w:szCs w:val="22"/>
          <w:lang w:val="en" w:eastAsia="en-GB"/>
        </w:rPr>
      </w:pPr>
      <w:r w:rsidRPr="00787D4E">
        <w:rPr>
          <w:rFonts w:cs="Arial"/>
          <w:sz w:val="22"/>
          <w:szCs w:val="22"/>
          <w:lang w:val="en" w:eastAsia="en-GB"/>
        </w:rPr>
        <w:t>Responding to the climate emergency</w:t>
      </w:r>
    </w:p>
    <w:p w14:paraId="1ED9C574" w14:textId="77777777" w:rsidR="003A43EB" w:rsidRPr="00787D4E" w:rsidRDefault="003A43EB" w:rsidP="00F8060C">
      <w:pPr>
        <w:numPr>
          <w:ilvl w:val="0"/>
          <w:numId w:val="11"/>
        </w:numPr>
        <w:shd w:val="clear" w:color="auto" w:fill="FFFFFF"/>
        <w:ind w:left="709" w:right="421" w:firstLine="0"/>
        <w:jc w:val="left"/>
        <w:rPr>
          <w:rFonts w:cs="Arial"/>
          <w:sz w:val="22"/>
          <w:szCs w:val="22"/>
          <w:lang w:val="en" w:eastAsia="en-GB"/>
        </w:rPr>
      </w:pPr>
      <w:r w:rsidRPr="00787D4E">
        <w:rPr>
          <w:rFonts w:cs="Arial"/>
          <w:sz w:val="22"/>
          <w:szCs w:val="22"/>
          <w:lang w:val="en" w:eastAsia="en-GB"/>
        </w:rPr>
        <w:t>Enhancing the quality of Stratford-on-Avon as place</w:t>
      </w:r>
    </w:p>
    <w:p w14:paraId="2378AA4A" w14:textId="77777777" w:rsidR="003A43EB" w:rsidRPr="00787D4E" w:rsidRDefault="003A43EB" w:rsidP="00F8060C">
      <w:pPr>
        <w:numPr>
          <w:ilvl w:val="0"/>
          <w:numId w:val="11"/>
        </w:numPr>
        <w:shd w:val="clear" w:color="auto" w:fill="FFFFFF"/>
        <w:ind w:left="709" w:right="421" w:firstLine="0"/>
        <w:jc w:val="left"/>
        <w:rPr>
          <w:rFonts w:cs="Arial"/>
          <w:sz w:val="22"/>
          <w:szCs w:val="22"/>
          <w:lang w:val="en" w:eastAsia="en-GB"/>
        </w:rPr>
      </w:pPr>
      <w:r w:rsidRPr="00787D4E">
        <w:rPr>
          <w:rFonts w:cs="Arial"/>
          <w:sz w:val="22"/>
          <w:szCs w:val="22"/>
          <w:lang w:val="en" w:eastAsia="en-GB"/>
        </w:rPr>
        <w:t>Nurturing a thriving, innovative and inclusive economy</w:t>
      </w:r>
    </w:p>
    <w:p w14:paraId="6729A6BB" w14:textId="77777777" w:rsidR="003A43EB" w:rsidRDefault="003A43EB" w:rsidP="00F8060C">
      <w:pPr>
        <w:numPr>
          <w:ilvl w:val="0"/>
          <w:numId w:val="11"/>
        </w:numPr>
        <w:shd w:val="clear" w:color="auto" w:fill="FFFFFF"/>
        <w:ind w:left="709" w:right="421" w:firstLine="0"/>
        <w:jc w:val="left"/>
        <w:rPr>
          <w:rFonts w:cs="Arial"/>
          <w:sz w:val="22"/>
          <w:szCs w:val="22"/>
          <w:lang w:val="en" w:eastAsia="en-GB"/>
        </w:rPr>
      </w:pPr>
      <w:r w:rsidRPr="00787D4E">
        <w:rPr>
          <w:rFonts w:cs="Arial"/>
          <w:sz w:val="22"/>
          <w:szCs w:val="22"/>
          <w:lang w:val="en" w:eastAsia="en-GB"/>
        </w:rPr>
        <w:t>Putting residents and communities centre stage</w:t>
      </w:r>
    </w:p>
    <w:p w14:paraId="0BB8F058" w14:textId="77777777" w:rsidR="00C62532" w:rsidRDefault="00C62532" w:rsidP="00C62532">
      <w:pPr>
        <w:shd w:val="clear" w:color="auto" w:fill="FFFFFF"/>
        <w:ind w:right="421"/>
        <w:jc w:val="left"/>
        <w:rPr>
          <w:rFonts w:cs="Arial"/>
          <w:sz w:val="22"/>
          <w:szCs w:val="22"/>
          <w:lang w:val="en" w:eastAsia="en-GB"/>
        </w:rPr>
      </w:pPr>
    </w:p>
    <w:p w14:paraId="1A8A37D8" w14:textId="77777777" w:rsidR="00C62532" w:rsidRPr="00787D4E" w:rsidRDefault="00C62532" w:rsidP="00C62532">
      <w:pPr>
        <w:shd w:val="clear" w:color="auto" w:fill="FFFFFF"/>
        <w:ind w:right="421"/>
        <w:jc w:val="left"/>
        <w:rPr>
          <w:rFonts w:cs="Arial"/>
          <w:sz w:val="22"/>
          <w:szCs w:val="22"/>
          <w:lang w:val="en" w:eastAsia="en-GB"/>
        </w:rPr>
      </w:pPr>
    </w:p>
    <w:p w14:paraId="278946A0" w14:textId="0DD8ACD7" w:rsidR="003A43EB" w:rsidRPr="00787D4E" w:rsidRDefault="003A43EB" w:rsidP="00F8060C">
      <w:pPr>
        <w:ind w:right="421" w:hanging="11"/>
        <w:jc w:val="left"/>
        <w:rPr>
          <w:sz w:val="22"/>
          <w:szCs w:val="22"/>
        </w:rPr>
      </w:pPr>
      <w:r w:rsidRPr="00787D4E">
        <w:rPr>
          <w:sz w:val="22"/>
          <w:szCs w:val="22"/>
        </w:rPr>
        <w:lastRenderedPageBreak/>
        <w:t xml:space="preserve">In agreeing the </w:t>
      </w:r>
      <w:r w:rsidR="00CB469E" w:rsidRPr="00787D4E">
        <w:rPr>
          <w:sz w:val="22"/>
          <w:szCs w:val="22"/>
        </w:rPr>
        <w:t>longer-term</w:t>
      </w:r>
      <w:r w:rsidRPr="00787D4E">
        <w:rPr>
          <w:sz w:val="22"/>
          <w:szCs w:val="22"/>
        </w:rPr>
        <w:t xml:space="preserve"> vision, specific priorities were also agreed for the four years up to the elections due to be held in May 2023, these priorities are as follows:</w:t>
      </w:r>
    </w:p>
    <w:p w14:paraId="586720C5"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b/>
          <w:bCs/>
          <w:i/>
          <w:iCs/>
          <w:sz w:val="22"/>
          <w:szCs w:val="22"/>
          <w:lang w:val="en" w:eastAsia="en-GB"/>
        </w:rPr>
        <w:t>Working on regional, national and international stages</w:t>
      </w:r>
    </w:p>
    <w:p w14:paraId="07610BB3"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sz w:val="22"/>
          <w:szCs w:val="22"/>
          <w:lang w:val="en" w:eastAsia="en-GB"/>
        </w:rPr>
        <w:t>We will promote Stratford-on-Avon externally and use our relationships and reputation to help deliver our vision for 2030 and our ambitions for 2023.</w:t>
      </w:r>
    </w:p>
    <w:p w14:paraId="310A753F" w14:textId="1A0873F1" w:rsidR="003A43EB" w:rsidRPr="00787D4E" w:rsidRDefault="003A43EB" w:rsidP="00F8060C">
      <w:pPr>
        <w:shd w:val="clear" w:color="auto" w:fill="FFFFFF"/>
        <w:ind w:left="709" w:right="421" w:firstLine="0"/>
        <w:jc w:val="left"/>
        <w:rPr>
          <w:rFonts w:cs="Arial"/>
          <w:b/>
          <w:bCs/>
          <w:i/>
          <w:iCs/>
          <w:sz w:val="22"/>
          <w:szCs w:val="22"/>
          <w:lang w:val="en" w:eastAsia="en-GB"/>
        </w:rPr>
      </w:pPr>
      <w:r w:rsidRPr="00787D4E">
        <w:rPr>
          <w:rFonts w:cs="Arial"/>
          <w:b/>
          <w:bCs/>
          <w:i/>
          <w:iCs/>
          <w:sz w:val="22"/>
          <w:szCs w:val="22"/>
          <w:lang w:val="en" w:eastAsia="en-GB"/>
        </w:rPr>
        <w:t xml:space="preserve">Enhancing the quality </w:t>
      </w:r>
      <w:r w:rsidR="001B3D5F">
        <w:rPr>
          <w:rFonts w:cs="Arial"/>
          <w:b/>
          <w:bCs/>
          <w:i/>
          <w:iCs/>
          <w:sz w:val="22"/>
          <w:szCs w:val="22"/>
          <w:lang w:val="en" w:eastAsia="en-GB"/>
        </w:rPr>
        <w:t xml:space="preserve">of </w:t>
      </w:r>
      <w:r w:rsidRPr="00787D4E">
        <w:rPr>
          <w:rFonts w:cs="Arial"/>
          <w:b/>
          <w:bCs/>
          <w:i/>
          <w:iCs/>
          <w:sz w:val="22"/>
          <w:szCs w:val="22"/>
          <w:lang w:val="en" w:eastAsia="en-GB"/>
        </w:rPr>
        <w:t>Stratford-on-Avon as a place</w:t>
      </w:r>
    </w:p>
    <w:p w14:paraId="7940B398"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sz w:val="22"/>
          <w:szCs w:val="22"/>
          <w:lang w:val="en" w:eastAsia="en-GB"/>
        </w:rPr>
        <w:t xml:space="preserve">We will use our roles and powers, an ever-closer relationship with Warwickshire County Council and effective collaboration with other partners to enable us to ensure that Stratford-on-Avon is an excellent place to live, work, learn, visit and invest. </w:t>
      </w:r>
    </w:p>
    <w:p w14:paraId="4236D9E3"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b/>
          <w:bCs/>
          <w:i/>
          <w:iCs/>
          <w:sz w:val="22"/>
          <w:szCs w:val="22"/>
          <w:lang w:val="en" w:eastAsia="en-GB"/>
        </w:rPr>
        <w:t>Nurturing a thriving, innovative and inclusive economy</w:t>
      </w:r>
    </w:p>
    <w:p w14:paraId="4D51A31E"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sz w:val="22"/>
          <w:szCs w:val="22"/>
          <w:lang w:val="en" w:eastAsia="en-GB"/>
        </w:rPr>
        <w:t>We will work with the Warwickshire Local Enterprise Partnership, West Midlands Combined Authority and Midlands Engine to support our local economy.</w:t>
      </w:r>
    </w:p>
    <w:p w14:paraId="4FEBA4F1"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b/>
          <w:bCs/>
          <w:i/>
          <w:iCs/>
          <w:sz w:val="22"/>
          <w:szCs w:val="22"/>
          <w:lang w:val="en" w:eastAsia="en-GB"/>
        </w:rPr>
        <w:t>Responding to the climate emergency</w:t>
      </w:r>
    </w:p>
    <w:p w14:paraId="1E2392BC"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sz w:val="22"/>
          <w:szCs w:val="22"/>
          <w:lang w:val="en" w:eastAsia="en-GB"/>
        </w:rPr>
        <w:t>We will do all we can locally to contribute to national carbon reduction targets, fulfil our aim to becoming a carbon-neutral District by 2030 and support measures to adapt to the impact of climate change.</w:t>
      </w:r>
    </w:p>
    <w:p w14:paraId="55C10053" w14:textId="77777777" w:rsidR="003A43EB" w:rsidRPr="00787D4E" w:rsidRDefault="003A43EB" w:rsidP="00F8060C">
      <w:pPr>
        <w:shd w:val="clear" w:color="auto" w:fill="FFFFFF"/>
        <w:ind w:left="709" w:firstLine="0"/>
        <w:jc w:val="left"/>
        <w:rPr>
          <w:rFonts w:cs="Arial"/>
          <w:sz w:val="22"/>
          <w:szCs w:val="22"/>
          <w:lang w:val="en" w:eastAsia="en-GB"/>
        </w:rPr>
      </w:pPr>
      <w:r w:rsidRPr="00787D4E">
        <w:rPr>
          <w:rFonts w:cs="Arial"/>
          <w:b/>
          <w:bCs/>
          <w:i/>
          <w:iCs/>
          <w:sz w:val="22"/>
          <w:szCs w:val="22"/>
          <w:lang w:val="en" w:eastAsia="en-GB"/>
        </w:rPr>
        <w:t>Putting residents and communities centre stage</w:t>
      </w:r>
    </w:p>
    <w:p w14:paraId="68365BAC" w14:textId="77777777" w:rsidR="003A43EB" w:rsidRPr="00787D4E" w:rsidRDefault="003A43EB" w:rsidP="00F8060C">
      <w:pPr>
        <w:shd w:val="clear" w:color="auto" w:fill="FFFFFF"/>
        <w:ind w:left="709" w:right="421" w:firstLine="0"/>
        <w:jc w:val="left"/>
        <w:rPr>
          <w:rFonts w:cs="Arial"/>
          <w:sz w:val="22"/>
          <w:szCs w:val="22"/>
          <w:lang w:val="en" w:eastAsia="en-GB"/>
        </w:rPr>
      </w:pPr>
      <w:r w:rsidRPr="00787D4E">
        <w:rPr>
          <w:rFonts w:cs="Arial"/>
          <w:sz w:val="22"/>
          <w:szCs w:val="22"/>
          <w:lang w:val="en" w:eastAsia="en-GB"/>
        </w:rPr>
        <w:t>We will listen to and engage with residents and communities, use what we hear to shape what we do, and communicate the results.</w:t>
      </w:r>
    </w:p>
    <w:p w14:paraId="0867C86E" w14:textId="77777777" w:rsidR="003A43EB" w:rsidRPr="00787D4E" w:rsidRDefault="003A43EB" w:rsidP="00F8060C">
      <w:pPr>
        <w:shd w:val="clear" w:color="auto" w:fill="FFFFFF"/>
        <w:ind w:left="709" w:right="421" w:firstLine="0"/>
        <w:jc w:val="left"/>
        <w:rPr>
          <w:rFonts w:cs="Arial"/>
          <w:b/>
          <w:bCs/>
          <w:i/>
          <w:iCs/>
          <w:sz w:val="22"/>
          <w:szCs w:val="22"/>
          <w:lang w:val="en" w:eastAsia="en-GB"/>
        </w:rPr>
      </w:pPr>
      <w:r w:rsidRPr="00787D4E">
        <w:rPr>
          <w:rFonts w:cs="Arial"/>
          <w:b/>
          <w:bCs/>
          <w:i/>
          <w:iCs/>
          <w:sz w:val="22"/>
          <w:szCs w:val="22"/>
          <w:lang w:val="en" w:eastAsia="en-GB"/>
        </w:rPr>
        <w:t>In order to deliver this, we will become a more agile and resilient Council</w:t>
      </w:r>
    </w:p>
    <w:p w14:paraId="37BF0D6A" w14:textId="1DB3DA7F" w:rsidR="003A43EB" w:rsidRPr="00F8060C" w:rsidRDefault="003A43EB" w:rsidP="00F8060C">
      <w:pPr>
        <w:pStyle w:val="ListParagraph"/>
        <w:numPr>
          <w:ilvl w:val="1"/>
          <w:numId w:val="12"/>
        </w:numPr>
        <w:ind w:right="421"/>
        <w:contextualSpacing w:val="0"/>
        <w:jc w:val="left"/>
        <w:rPr>
          <w:b/>
          <w:sz w:val="22"/>
          <w:szCs w:val="22"/>
        </w:rPr>
      </w:pPr>
      <w:r w:rsidRPr="00787D4E">
        <w:rPr>
          <w:sz w:val="22"/>
          <w:szCs w:val="22"/>
        </w:rPr>
        <w:t xml:space="preserve">In implementing the Council Plan for 2021/22 a set of specific actions were agreed by </w:t>
      </w:r>
      <w:r w:rsidR="009346F4">
        <w:rPr>
          <w:sz w:val="22"/>
          <w:szCs w:val="22"/>
        </w:rPr>
        <w:t>T</w:t>
      </w:r>
      <w:r w:rsidRPr="00787D4E">
        <w:rPr>
          <w:sz w:val="22"/>
          <w:szCs w:val="22"/>
        </w:rPr>
        <w:t>he Cabinet at their meeting on 12 April 2021. The agreed actions took into account the reduced corporate capacity which related to the ongoing COVID pandemic</w:t>
      </w:r>
      <w:r w:rsidRPr="0069210F">
        <w:rPr>
          <w:sz w:val="22"/>
          <w:szCs w:val="22"/>
        </w:rPr>
        <w:t xml:space="preserve">, however </w:t>
      </w:r>
      <w:r w:rsidR="0069210F" w:rsidRPr="0069210F">
        <w:rPr>
          <w:sz w:val="22"/>
          <w:szCs w:val="22"/>
        </w:rPr>
        <w:t xml:space="preserve">they </w:t>
      </w:r>
      <w:r w:rsidRPr="0069210F">
        <w:rPr>
          <w:sz w:val="22"/>
          <w:szCs w:val="22"/>
        </w:rPr>
        <w:t>were</w:t>
      </w:r>
      <w:r w:rsidR="0069210F" w:rsidRPr="0069210F">
        <w:rPr>
          <w:sz w:val="22"/>
          <w:szCs w:val="22"/>
        </w:rPr>
        <w:t xml:space="preserve"> still</w:t>
      </w:r>
      <w:r w:rsidRPr="0069210F">
        <w:rPr>
          <w:sz w:val="22"/>
          <w:szCs w:val="22"/>
        </w:rPr>
        <w:t xml:space="preserve"> stretching</w:t>
      </w:r>
      <w:r w:rsidRPr="00787D4E">
        <w:rPr>
          <w:sz w:val="22"/>
          <w:szCs w:val="22"/>
        </w:rPr>
        <w:t xml:space="preserve"> and extremely ambitious. </w:t>
      </w:r>
    </w:p>
    <w:p w14:paraId="3CDEAB13" w14:textId="079999CC" w:rsidR="003A43EB" w:rsidRPr="00F8060C" w:rsidRDefault="003A43EB" w:rsidP="00F8060C">
      <w:pPr>
        <w:pStyle w:val="ListParagraph"/>
        <w:numPr>
          <w:ilvl w:val="1"/>
          <w:numId w:val="12"/>
        </w:numPr>
        <w:ind w:right="421"/>
        <w:contextualSpacing w:val="0"/>
        <w:jc w:val="left"/>
        <w:rPr>
          <w:b/>
          <w:sz w:val="22"/>
          <w:szCs w:val="22"/>
        </w:rPr>
      </w:pPr>
      <w:r w:rsidRPr="00787D4E">
        <w:rPr>
          <w:sz w:val="22"/>
          <w:szCs w:val="22"/>
        </w:rPr>
        <w:t>The delivery of these actions is reported separately within this report, however, in addition to these actions the Council continued to support our local communities through the pandemic. The main areas of activities included payment of vital grants to businesses and our Environmental Health team ensuring that businesses operated in a COVID secure manner. It is extremely positive that the worst of the pandemic now appears to have past and that the Council can once more concentrate on its priorities.</w:t>
      </w:r>
    </w:p>
    <w:p w14:paraId="5D23ACE9" w14:textId="04C6D129" w:rsidR="00CB645C" w:rsidRPr="00C62532" w:rsidRDefault="003A43EB" w:rsidP="00F8060C">
      <w:pPr>
        <w:pStyle w:val="ListParagraph"/>
        <w:numPr>
          <w:ilvl w:val="1"/>
          <w:numId w:val="12"/>
        </w:numPr>
        <w:ind w:right="421"/>
        <w:contextualSpacing w:val="0"/>
        <w:jc w:val="left"/>
        <w:rPr>
          <w:b/>
          <w:sz w:val="22"/>
          <w:szCs w:val="22"/>
        </w:rPr>
      </w:pPr>
      <w:r w:rsidRPr="00787D4E">
        <w:rPr>
          <w:sz w:val="22"/>
          <w:szCs w:val="22"/>
        </w:rPr>
        <w:t xml:space="preserve">During 2021/22 the Council was working extremely closely with Warwick District Council, with a number of key decisions being made by </w:t>
      </w:r>
      <w:r w:rsidR="000C7E0A">
        <w:rPr>
          <w:sz w:val="22"/>
          <w:szCs w:val="22"/>
        </w:rPr>
        <w:t>T</w:t>
      </w:r>
      <w:r w:rsidRPr="00787D4E">
        <w:rPr>
          <w:sz w:val="22"/>
          <w:szCs w:val="22"/>
        </w:rPr>
        <w:t xml:space="preserve">he Cabinet and Council to implement the vision of seeking to create a single District Council over the Stratford and Warwick areas. </w:t>
      </w:r>
    </w:p>
    <w:p w14:paraId="18278FB5" w14:textId="77777777" w:rsidR="00C62532" w:rsidRDefault="00C62532" w:rsidP="00C62532">
      <w:pPr>
        <w:ind w:right="421"/>
        <w:jc w:val="left"/>
        <w:rPr>
          <w:b/>
          <w:sz w:val="22"/>
          <w:szCs w:val="22"/>
        </w:rPr>
      </w:pPr>
    </w:p>
    <w:p w14:paraId="28EFE6A4" w14:textId="77777777" w:rsidR="00C62532" w:rsidRPr="00C62532" w:rsidRDefault="00C62532" w:rsidP="00C62532">
      <w:pPr>
        <w:ind w:right="421"/>
        <w:jc w:val="left"/>
        <w:rPr>
          <w:b/>
          <w:sz w:val="22"/>
          <w:szCs w:val="22"/>
        </w:rPr>
      </w:pPr>
    </w:p>
    <w:p w14:paraId="06AD0B19" w14:textId="0A820139" w:rsidR="003A43EB" w:rsidRPr="00CB645C" w:rsidRDefault="003A43EB" w:rsidP="00CB645C">
      <w:pPr>
        <w:pStyle w:val="ListParagraph"/>
        <w:ind w:right="421" w:firstLine="0"/>
        <w:contextualSpacing w:val="0"/>
        <w:jc w:val="left"/>
        <w:rPr>
          <w:b/>
          <w:sz w:val="22"/>
          <w:szCs w:val="22"/>
        </w:rPr>
      </w:pPr>
      <w:r w:rsidRPr="00CB645C">
        <w:rPr>
          <w:sz w:val="22"/>
          <w:szCs w:val="22"/>
        </w:rPr>
        <w:lastRenderedPageBreak/>
        <w:t xml:space="preserve">This culminated in a report to Council in December 2021 where it was agreed that a formal submission should be made by the two Council’s to the Department for Levelling Up, Housing and Communities to request this move. Warwick District Council came to the same decision and the formal submission was made before the Christmas break. </w:t>
      </w:r>
    </w:p>
    <w:p w14:paraId="378F7574" w14:textId="5C6C34A1" w:rsidR="003A43EB" w:rsidRPr="00787D4E" w:rsidRDefault="003A43EB" w:rsidP="00F8060C">
      <w:pPr>
        <w:pStyle w:val="ListParagraph"/>
        <w:numPr>
          <w:ilvl w:val="1"/>
          <w:numId w:val="12"/>
        </w:numPr>
        <w:ind w:right="421"/>
        <w:contextualSpacing w:val="0"/>
        <w:jc w:val="left"/>
        <w:rPr>
          <w:bCs/>
          <w:sz w:val="22"/>
          <w:szCs w:val="22"/>
        </w:rPr>
      </w:pPr>
      <w:r w:rsidRPr="00787D4E">
        <w:rPr>
          <w:bCs/>
          <w:sz w:val="22"/>
          <w:szCs w:val="22"/>
        </w:rPr>
        <w:t>Council will be aware that this decision has subsequently been reversed and that this ambition will no longer be pursued. However, there were a number of positive outcomes from the working with Warwick District Council which will be continued</w:t>
      </w:r>
      <w:r w:rsidR="00512DE1">
        <w:rPr>
          <w:bCs/>
          <w:sz w:val="22"/>
          <w:szCs w:val="22"/>
        </w:rPr>
        <w:t>,</w:t>
      </w:r>
      <w:r w:rsidRPr="00787D4E">
        <w:rPr>
          <w:bCs/>
          <w:sz w:val="22"/>
          <w:szCs w:val="22"/>
        </w:rPr>
        <w:t xml:space="preserve"> these include:</w:t>
      </w:r>
    </w:p>
    <w:p w14:paraId="1599C5E6" w14:textId="77777777" w:rsidR="003A43EB" w:rsidRPr="00787D4E" w:rsidRDefault="003A43EB" w:rsidP="00F8060C">
      <w:pPr>
        <w:numPr>
          <w:ilvl w:val="0"/>
          <w:numId w:val="13"/>
        </w:numPr>
        <w:tabs>
          <w:tab w:val="clear" w:pos="720"/>
        </w:tabs>
        <w:ind w:left="1267" w:right="421" w:hanging="416"/>
        <w:jc w:val="left"/>
        <w:rPr>
          <w:rFonts w:ascii="Times New Roman" w:hAnsi="Times New Roman"/>
          <w:sz w:val="22"/>
          <w:szCs w:val="22"/>
          <w:lang w:eastAsia="en-GB"/>
        </w:rPr>
      </w:pPr>
      <w:r w:rsidRPr="00787D4E">
        <w:rPr>
          <w:rFonts w:eastAsia="Verdana" w:cstheme="minorBidi"/>
          <w:kern w:val="24"/>
          <w:sz w:val="22"/>
          <w:szCs w:val="22"/>
          <w:lang w:eastAsia="en-GB"/>
        </w:rPr>
        <w:t>Jointly Tendering for the Refuse and Recycling Contract</w:t>
      </w:r>
    </w:p>
    <w:p w14:paraId="4749CB77" w14:textId="77777777" w:rsidR="003A43EB" w:rsidRPr="00787D4E" w:rsidRDefault="003A43EB" w:rsidP="00F8060C">
      <w:pPr>
        <w:numPr>
          <w:ilvl w:val="0"/>
          <w:numId w:val="13"/>
        </w:numPr>
        <w:tabs>
          <w:tab w:val="clear" w:pos="720"/>
        </w:tabs>
        <w:ind w:left="1267" w:right="421" w:hanging="416"/>
        <w:jc w:val="left"/>
        <w:rPr>
          <w:rFonts w:ascii="Times New Roman" w:hAnsi="Times New Roman"/>
          <w:sz w:val="22"/>
          <w:szCs w:val="22"/>
          <w:lang w:eastAsia="en-GB"/>
        </w:rPr>
      </w:pPr>
      <w:r w:rsidRPr="00787D4E">
        <w:rPr>
          <w:rFonts w:eastAsia="Verdana" w:cstheme="minorBidi"/>
          <w:kern w:val="24"/>
          <w:sz w:val="22"/>
          <w:szCs w:val="22"/>
          <w:lang w:eastAsia="en-GB"/>
        </w:rPr>
        <w:t>Developing jointly a South Warwickshire Local Plan</w:t>
      </w:r>
    </w:p>
    <w:p w14:paraId="750F75EF" w14:textId="77777777" w:rsidR="003A43EB" w:rsidRPr="00787D4E" w:rsidRDefault="003A43EB" w:rsidP="00F8060C">
      <w:pPr>
        <w:numPr>
          <w:ilvl w:val="0"/>
          <w:numId w:val="13"/>
        </w:numPr>
        <w:tabs>
          <w:tab w:val="clear" w:pos="720"/>
        </w:tabs>
        <w:ind w:left="1267" w:right="421" w:hanging="416"/>
        <w:jc w:val="left"/>
        <w:rPr>
          <w:rFonts w:ascii="Times New Roman" w:hAnsi="Times New Roman"/>
          <w:sz w:val="22"/>
          <w:szCs w:val="22"/>
          <w:lang w:eastAsia="en-GB"/>
        </w:rPr>
      </w:pPr>
      <w:r w:rsidRPr="00787D4E">
        <w:rPr>
          <w:rFonts w:eastAsia="Verdana" w:cstheme="minorBidi"/>
          <w:kern w:val="24"/>
          <w:sz w:val="22"/>
          <w:szCs w:val="22"/>
          <w:lang w:eastAsia="en-GB"/>
        </w:rPr>
        <w:t>Developing a South Warwickshire Economic Strategy</w:t>
      </w:r>
    </w:p>
    <w:p w14:paraId="6D2C4CA1" w14:textId="77777777" w:rsidR="003A43EB" w:rsidRPr="00787D4E" w:rsidRDefault="003A43EB" w:rsidP="00F8060C">
      <w:pPr>
        <w:numPr>
          <w:ilvl w:val="0"/>
          <w:numId w:val="13"/>
        </w:numPr>
        <w:tabs>
          <w:tab w:val="clear" w:pos="720"/>
        </w:tabs>
        <w:ind w:left="1267" w:right="421" w:hanging="416"/>
        <w:jc w:val="left"/>
        <w:rPr>
          <w:rFonts w:ascii="Times New Roman" w:hAnsi="Times New Roman"/>
          <w:sz w:val="22"/>
          <w:szCs w:val="22"/>
          <w:lang w:eastAsia="en-GB"/>
        </w:rPr>
      </w:pPr>
      <w:r w:rsidRPr="00787D4E">
        <w:rPr>
          <w:rFonts w:eastAsia="Verdana" w:cstheme="minorBidi"/>
          <w:kern w:val="24"/>
          <w:sz w:val="22"/>
          <w:szCs w:val="22"/>
          <w:lang w:eastAsia="en-GB"/>
        </w:rPr>
        <w:t>Developing a joint Regulatory Services Enforcement Policy</w:t>
      </w:r>
    </w:p>
    <w:p w14:paraId="189E3731" w14:textId="23089ACC" w:rsidR="003A43EB" w:rsidRPr="00F8060C" w:rsidRDefault="003A43EB" w:rsidP="00F8060C">
      <w:pPr>
        <w:pStyle w:val="ListParagraph"/>
        <w:numPr>
          <w:ilvl w:val="0"/>
          <w:numId w:val="13"/>
        </w:numPr>
        <w:tabs>
          <w:tab w:val="clear" w:pos="720"/>
        </w:tabs>
        <w:ind w:left="1267" w:right="421" w:hanging="416"/>
        <w:contextualSpacing w:val="0"/>
        <w:jc w:val="left"/>
        <w:rPr>
          <w:snapToGrid w:val="0"/>
          <w:sz w:val="22"/>
          <w:szCs w:val="22"/>
        </w:rPr>
      </w:pPr>
      <w:r w:rsidRPr="00787D4E">
        <w:rPr>
          <w:snapToGrid w:val="0"/>
          <w:sz w:val="22"/>
          <w:szCs w:val="22"/>
        </w:rPr>
        <w:t>Agreed a shared set of ambitions regarding the Climate Emergency</w:t>
      </w:r>
    </w:p>
    <w:p w14:paraId="173A3EF1" w14:textId="1DAA7BFF" w:rsidR="003A43EB" w:rsidRPr="00F8060C" w:rsidRDefault="003A43EB" w:rsidP="00F8060C">
      <w:pPr>
        <w:pStyle w:val="ListParagraph"/>
        <w:numPr>
          <w:ilvl w:val="1"/>
          <w:numId w:val="12"/>
        </w:numPr>
        <w:ind w:right="421"/>
        <w:contextualSpacing w:val="0"/>
        <w:jc w:val="left"/>
        <w:rPr>
          <w:bCs/>
          <w:sz w:val="22"/>
          <w:szCs w:val="22"/>
        </w:rPr>
      </w:pPr>
      <w:r w:rsidRPr="00787D4E">
        <w:rPr>
          <w:bCs/>
          <w:sz w:val="22"/>
          <w:szCs w:val="22"/>
        </w:rPr>
        <w:t xml:space="preserve">Members will also be aware that the Overview and Scrutiny Committee have established a Task and Finish Working Group to help understand the lessons learnt from this exercise. The first meeting of the working group was held on 29 September 2022 and it is hoped that its’ work will be completed before Christmas. </w:t>
      </w:r>
    </w:p>
    <w:p w14:paraId="6C6516CE" w14:textId="7291630F" w:rsidR="00072B7D" w:rsidRPr="00F8060C" w:rsidRDefault="003A43EB" w:rsidP="00F8060C">
      <w:pPr>
        <w:pStyle w:val="ListParagraph"/>
        <w:numPr>
          <w:ilvl w:val="1"/>
          <w:numId w:val="12"/>
        </w:numPr>
        <w:ind w:right="421"/>
        <w:contextualSpacing w:val="0"/>
        <w:jc w:val="left"/>
        <w:rPr>
          <w:bCs/>
          <w:color w:val="000000" w:themeColor="text1"/>
          <w:sz w:val="22"/>
          <w:szCs w:val="22"/>
        </w:rPr>
      </w:pPr>
      <w:r w:rsidRPr="00787D4E">
        <w:rPr>
          <w:bCs/>
          <w:sz w:val="22"/>
          <w:szCs w:val="22"/>
        </w:rPr>
        <w:t xml:space="preserve">It should be noted that there are consequences of not progressing the merger with Warwick District Council, on a financial perspective specifically. The Council had assumed overall savings increasing </w:t>
      </w:r>
      <w:r w:rsidRPr="00F61229">
        <w:rPr>
          <w:bCs/>
          <w:color w:val="000000" w:themeColor="text1"/>
          <w:sz w:val="22"/>
          <w:szCs w:val="22"/>
        </w:rPr>
        <w:t>to £1.</w:t>
      </w:r>
      <w:r w:rsidR="008C73A0" w:rsidRPr="00F61229">
        <w:rPr>
          <w:bCs/>
          <w:color w:val="000000" w:themeColor="text1"/>
          <w:sz w:val="22"/>
          <w:szCs w:val="22"/>
        </w:rPr>
        <w:t>275</w:t>
      </w:r>
      <w:r w:rsidRPr="00F61229">
        <w:rPr>
          <w:bCs/>
          <w:color w:val="000000" w:themeColor="text1"/>
          <w:sz w:val="22"/>
          <w:szCs w:val="22"/>
        </w:rPr>
        <w:t>m p</w:t>
      </w:r>
      <w:r w:rsidR="00CF22B7">
        <w:rPr>
          <w:bCs/>
          <w:color w:val="000000" w:themeColor="text1"/>
          <w:sz w:val="22"/>
          <w:szCs w:val="22"/>
        </w:rPr>
        <w:t xml:space="preserve">er </w:t>
      </w:r>
      <w:r w:rsidRPr="00F61229">
        <w:rPr>
          <w:bCs/>
          <w:color w:val="000000" w:themeColor="text1"/>
          <w:sz w:val="22"/>
          <w:szCs w:val="22"/>
        </w:rPr>
        <w:t>a</w:t>
      </w:r>
      <w:r w:rsidR="00CF22B7">
        <w:rPr>
          <w:bCs/>
          <w:color w:val="000000" w:themeColor="text1"/>
          <w:sz w:val="22"/>
          <w:szCs w:val="22"/>
        </w:rPr>
        <w:t>nnum</w:t>
      </w:r>
      <w:r w:rsidRPr="00F61229">
        <w:rPr>
          <w:bCs/>
          <w:color w:val="000000" w:themeColor="text1"/>
          <w:sz w:val="22"/>
          <w:szCs w:val="22"/>
        </w:rPr>
        <w:t xml:space="preserve"> through the exercise and these had been included within the </w:t>
      </w:r>
      <w:r w:rsidR="00CB469E" w:rsidRPr="00F61229">
        <w:rPr>
          <w:bCs/>
          <w:color w:val="000000" w:themeColor="text1"/>
          <w:sz w:val="22"/>
          <w:szCs w:val="22"/>
        </w:rPr>
        <w:t>Medium-Term</w:t>
      </w:r>
      <w:r w:rsidRPr="00787D4E">
        <w:rPr>
          <w:bCs/>
          <w:sz w:val="22"/>
          <w:szCs w:val="22"/>
        </w:rPr>
        <w:t xml:space="preserve"> Financial Plan. Now that the merger is not progressing these savings will now have to be withdrawn.</w:t>
      </w:r>
      <w:r w:rsidR="008C73A0">
        <w:rPr>
          <w:bCs/>
          <w:sz w:val="22"/>
          <w:szCs w:val="22"/>
        </w:rPr>
        <w:t xml:space="preserve"> </w:t>
      </w:r>
      <w:r w:rsidR="008C73A0" w:rsidRPr="00F61229">
        <w:rPr>
          <w:bCs/>
          <w:color w:val="000000" w:themeColor="text1"/>
          <w:sz w:val="22"/>
          <w:szCs w:val="22"/>
        </w:rPr>
        <w:t xml:space="preserve">However, because of the continuation of joint working in a number of areas </w:t>
      </w:r>
      <w:r w:rsidR="00395B73" w:rsidRPr="00F61229">
        <w:rPr>
          <w:bCs/>
          <w:color w:val="000000" w:themeColor="text1"/>
          <w:sz w:val="22"/>
          <w:szCs w:val="22"/>
        </w:rPr>
        <w:t>there will be savings of £271</w:t>
      </w:r>
      <w:r w:rsidR="00EF69B8" w:rsidRPr="00F61229">
        <w:rPr>
          <w:bCs/>
          <w:color w:val="000000" w:themeColor="text1"/>
          <w:sz w:val="22"/>
          <w:szCs w:val="22"/>
        </w:rPr>
        <w:t>k p</w:t>
      </w:r>
      <w:r w:rsidR="006334BD">
        <w:rPr>
          <w:bCs/>
          <w:color w:val="000000" w:themeColor="text1"/>
          <w:sz w:val="22"/>
          <w:szCs w:val="22"/>
        </w:rPr>
        <w:t xml:space="preserve">er </w:t>
      </w:r>
      <w:r w:rsidR="00EF69B8" w:rsidRPr="00F61229">
        <w:rPr>
          <w:bCs/>
          <w:color w:val="000000" w:themeColor="text1"/>
          <w:sz w:val="22"/>
          <w:szCs w:val="22"/>
        </w:rPr>
        <w:t>a</w:t>
      </w:r>
      <w:r w:rsidR="006334BD">
        <w:rPr>
          <w:bCs/>
          <w:color w:val="000000" w:themeColor="text1"/>
          <w:sz w:val="22"/>
          <w:szCs w:val="22"/>
        </w:rPr>
        <w:t>nnum</w:t>
      </w:r>
      <w:r w:rsidR="00EF69B8" w:rsidRPr="00F61229">
        <w:rPr>
          <w:bCs/>
          <w:color w:val="000000" w:themeColor="text1"/>
          <w:sz w:val="22"/>
          <w:szCs w:val="22"/>
        </w:rPr>
        <w:t xml:space="preserve"> accruing to the Council.</w:t>
      </w:r>
      <w:r w:rsidR="00F27E43" w:rsidRPr="00F61229">
        <w:rPr>
          <w:bCs/>
          <w:color w:val="000000" w:themeColor="text1"/>
          <w:sz w:val="22"/>
          <w:szCs w:val="22"/>
        </w:rPr>
        <w:t xml:space="preserve"> This does not include potential recharges not yet quantified</w:t>
      </w:r>
      <w:r w:rsidR="00F8060C">
        <w:rPr>
          <w:bCs/>
          <w:color w:val="000000" w:themeColor="text1"/>
          <w:sz w:val="22"/>
          <w:szCs w:val="22"/>
        </w:rPr>
        <w:t>.</w:t>
      </w:r>
    </w:p>
    <w:p w14:paraId="45930E76" w14:textId="7906EE35" w:rsidR="003A43EB" w:rsidRPr="00F8060C" w:rsidRDefault="003A43EB" w:rsidP="00F8060C">
      <w:pPr>
        <w:pStyle w:val="ListParagraph"/>
        <w:numPr>
          <w:ilvl w:val="1"/>
          <w:numId w:val="12"/>
        </w:numPr>
        <w:shd w:val="clear" w:color="auto" w:fill="FFFFFF"/>
        <w:ind w:right="421"/>
        <w:contextualSpacing w:val="0"/>
        <w:jc w:val="left"/>
        <w:rPr>
          <w:snapToGrid w:val="0"/>
          <w:sz w:val="22"/>
          <w:szCs w:val="22"/>
        </w:rPr>
      </w:pPr>
      <w:r w:rsidRPr="00787D4E">
        <w:rPr>
          <w:snapToGrid w:val="0"/>
          <w:sz w:val="22"/>
          <w:szCs w:val="22"/>
        </w:rPr>
        <w:t xml:space="preserve">In relation to the wider finances of the Council it is very clear though that we can reasonably expect a period of continued reductions in support, which if not addressed would challenge the financial sustainability of the Council. During 2021/22 the emergence of significant inflationary pressures and the overall impact on cost of living started to become an issue. The Council did achieve an underspend during 2021/22 and this was reported to </w:t>
      </w:r>
      <w:r w:rsidR="00240F2A">
        <w:rPr>
          <w:snapToGrid w:val="0"/>
          <w:sz w:val="22"/>
          <w:szCs w:val="22"/>
        </w:rPr>
        <w:t>T</w:t>
      </w:r>
      <w:r w:rsidRPr="00787D4E">
        <w:rPr>
          <w:snapToGrid w:val="0"/>
          <w:sz w:val="22"/>
          <w:szCs w:val="22"/>
        </w:rPr>
        <w:t>he Cabinet on 18 July 2022. The majority of this underspend was transferred into an earmarked reserve to help support the Council with inflationary costs in 2022/23.</w:t>
      </w:r>
    </w:p>
    <w:p w14:paraId="4B750A00" w14:textId="2A5F1CFF" w:rsidR="003A43EB" w:rsidRDefault="003A43EB" w:rsidP="00F8060C">
      <w:pPr>
        <w:pStyle w:val="ListParagraph"/>
        <w:numPr>
          <w:ilvl w:val="1"/>
          <w:numId w:val="12"/>
        </w:numPr>
        <w:ind w:right="421"/>
        <w:contextualSpacing w:val="0"/>
        <w:jc w:val="left"/>
        <w:rPr>
          <w:snapToGrid w:val="0"/>
          <w:sz w:val="22"/>
          <w:szCs w:val="22"/>
        </w:rPr>
      </w:pPr>
      <w:r w:rsidRPr="00787D4E">
        <w:rPr>
          <w:snapToGrid w:val="0"/>
          <w:sz w:val="22"/>
          <w:szCs w:val="22"/>
        </w:rPr>
        <w:t>The Council is responsible for ensuring that its business is conducted in accordance with the law and proper standards, that public money is safeguarded and properly accounted for, and used economically, efficiently and effectively</w:t>
      </w:r>
      <w:r w:rsidR="00F8060C">
        <w:rPr>
          <w:snapToGrid w:val="0"/>
          <w:sz w:val="22"/>
          <w:szCs w:val="22"/>
        </w:rPr>
        <w:t>.</w:t>
      </w:r>
    </w:p>
    <w:p w14:paraId="75406E2B" w14:textId="0E48D7D5" w:rsidR="003A43EB" w:rsidRPr="00F8060C" w:rsidRDefault="003A43EB" w:rsidP="00F8060C">
      <w:pPr>
        <w:pStyle w:val="ListParagraph"/>
        <w:numPr>
          <w:ilvl w:val="1"/>
          <w:numId w:val="12"/>
        </w:numPr>
        <w:ind w:right="421"/>
        <w:contextualSpacing w:val="0"/>
        <w:jc w:val="left"/>
        <w:rPr>
          <w:snapToGrid w:val="0"/>
          <w:sz w:val="22"/>
          <w:szCs w:val="22"/>
        </w:rPr>
      </w:pPr>
      <w:r w:rsidRPr="00787D4E">
        <w:rPr>
          <w:sz w:val="22"/>
          <w:szCs w:val="22"/>
        </w:rPr>
        <w:t xml:space="preserve">The Council also has a duty under the </w:t>
      </w:r>
      <w:r w:rsidRPr="00787D4E">
        <w:rPr>
          <w:i/>
          <w:sz w:val="22"/>
          <w:szCs w:val="22"/>
        </w:rPr>
        <w:t>Local Government Act 1999</w:t>
      </w:r>
      <w:r w:rsidRPr="00787D4E">
        <w:rPr>
          <w:sz w:val="22"/>
          <w:szCs w:val="22"/>
        </w:rPr>
        <w:t xml:space="preserve"> to make arrangements to secure continuous improvements in the way in which its functions are exercised, having regard to a combination of economy, efficiency and effectiveness.</w:t>
      </w:r>
    </w:p>
    <w:p w14:paraId="07D74F81" w14:textId="277E5BE8" w:rsidR="003A43EB" w:rsidRPr="00F8060C" w:rsidRDefault="003A43EB" w:rsidP="00F8060C">
      <w:pPr>
        <w:pStyle w:val="ListParagraph"/>
        <w:numPr>
          <w:ilvl w:val="1"/>
          <w:numId w:val="12"/>
        </w:numPr>
        <w:ind w:right="421"/>
        <w:contextualSpacing w:val="0"/>
        <w:jc w:val="left"/>
        <w:rPr>
          <w:snapToGrid w:val="0"/>
          <w:sz w:val="22"/>
          <w:szCs w:val="22"/>
        </w:rPr>
      </w:pPr>
      <w:r w:rsidRPr="00787D4E">
        <w:rPr>
          <w:sz w:val="22"/>
          <w:szCs w:val="22"/>
        </w:rPr>
        <w:lastRenderedPageBreak/>
        <w:t>The Annual Government Statement identifies the framework that comprises the systems, processes, culture and values, by which the Council is directed and controlled and its activities through which it accounts to, engages with and leads the community. It enables the Council to monitor the achievement of its strategic priorities and to consider whether those priorities have led to the delivery of appropriate, cost-effective services.</w:t>
      </w:r>
    </w:p>
    <w:p w14:paraId="46F35744" w14:textId="2AB18BFF" w:rsidR="003A43EB" w:rsidRPr="00F8060C" w:rsidRDefault="003A43EB" w:rsidP="00F8060C">
      <w:pPr>
        <w:pStyle w:val="ListParagraph"/>
        <w:numPr>
          <w:ilvl w:val="1"/>
          <w:numId w:val="12"/>
        </w:numPr>
        <w:ind w:right="421"/>
        <w:contextualSpacing w:val="0"/>
        <w:jc w:val="left"/>
        <w:rPr>
          <w:snapToGrid w:val="0"/>
          <w:sz w:val="22"/>
          <w:szCs w:val="22"/>
        </w:rPr>
      </w:pPr>
      <w:r w:rsidRPr="00787D4E">
        <w:rPr>
          <w:sz w:val="22"/>
          <w:szCs w:val="22"/>
        </w:rPr>
        <w:t>The roles and responsibilities of the executive, non-executive, scrutiny and officer functions, along with the delegations from The Cabinet and the Council are set out in the Constitution. In addition, there are member role profiles and an officer/member protocol that sets out the respective responsibilities and relationships of officers and members. The Constitution is kept under regular review, overseen by the Audit and Standards Committee and the document is fully reviewed every three years. A revised Leader’s Statement has been developed which summarises all of the executive delegations which are currently in place.</w:t>
      </w:r>
    </w:p>
    <w:p w14:paraId="5344FD2B" w14:textId="2E1D4C66" w:rsidR="000E0892" w:rsidRPr="00F8060C" w:rsidRDefault="003A43EB" w:rsidP="00F8060C">
      <w:pPr>
        <w:pStyle w:val="ListParagraph"/>
        <w:numPr>
          <w:ilvl w:val="1"/>
          <w:numId w:val="12"/>
        </w:numPr>
        <w:ind w:right="421"/>
        <w:contextualSpacing w:val="0"/>
        <w:jc w:val="left"/>
        <w:rPr>
          <w:snapToGrid w:val="0"/>
          <w:sz w:val="22"/>
          <w:szCs w:val="22"/>
        </w:rPr>
      </w:pPr>
      <w:r w:rsidRPr="00787D4E">
        <w:rPr>
          <w:sz w:val="22"/>
          <w:szCs w:val="22"/>
        </w:rPr>
        <w:t xml:space="preserve">A risk management framework is reviewed annually which is supported by the County Council. The provision of such advice is now built into the service level agreement for audit services. Operational risks form part of the service plans, and </w:t>
      </w:r>
      <w:r w:rsidR="00060E8D" w:rsidRPr="00787D4E">
        <w:rPr>
          <w:sz w:val="22"/>
          <w:szCs w:val="22"/>
        </w:rPr>
        <w:t>high-level</w:t>
      </w:r>
      <w:r w:rsidRPr="00787D4E">
        <w:rPr>
          <w:sz w:val="22"/>
          <w:szCs w:val="22"/>
        </w:rPr>
        <w:t xml:space="preserve"> risks are identified in the strategic risk register, which is periodically reviewed by the Management Team.</w:t>
      </w:r>
    </w:p>
    <w:p w14:paraId="5F795C1E" w14:textId="6A890DB1" w:rsidR="00BE0792" w:rsidRPr="00B270B8" w:rsidRDefault="00732678" w:rsidP="00F8060C">
      <w:pPr>
        <w:pStyle w:val="ListParagraph"/>
        <w:numPr>
          <w:ilvl w:val="1"/>
          <w:numId w:val="12"/>
        </w:numPr>
        <w:ind w:right="421"/>
        <w:contextualSpacing w:val="0"/>
        <w:jc w:val="left"/>
        <w:rPr>
          <w:color w:val="000000" w:themeColor="text1"/>
          <w:sz w:val="22"/>
          <w:szCs w:val="22"/>
        </w:rPr>
      </w:pPr>
      <w:r w:rsidRPr="00B270B8">
        <w:rPr>
          <w:rFonts w:eastAsiaTheme="minorHAnsi" w:cstheme="minorBidi"/>
          <w:color w:val="000000" w:themeColor="text1"/>
          <w:sz w:val="22"/>
          <w:szCs w:val="22"/>
        </w:rPr>
        <w:t>202</w:t>
      </w:r>
      <w:r w:rsidR="00BE0792" w:rsidRPr="00B270B8">
        <w:rPr>
          <w:rFonts w:eastAsiaTheme="minorHAnsi" w:cstheme="minorBidi"/>
          <w:color w:val="000000" w:themeColor="text1"/>
          <w:sz w:val="22"/>
          <w:szCs w:val="22"/>
        </w:rPr>
        <w:t>1</w:t>
      </w:r>
      <w:r w:rsidRPr="00B270B8">
        <w:rPr>
          <w:rFonts w:eastAsiaTheme="minorHAnsi" w:cstheme="minorBidi"/>
          <w:color w:val="000000" w:themeColor="text1"/>
          <w:sz w:val="22"/>
          <w:szCs w:val="22"/>
        </w:rPr>
        <w:t>/2</w:t>
      </w:r>
      <w:r w:rsidR="00BE0792" w:rsidRPr="00B270B8">
        <w:rPr>
          <w:rFonts w:eastAsiaTheme="minorHAnsi" w:cstheme="minorBidi"/>
          <w:color w:val="000000" w:themeColor="text1"/>
          <w:sz w:val="22"/>
          <w:szCs w:val="22"/>
        </w:rPr>
        <w:t>2 saw the following achievements.</w:t>
      </w:r>
      <w:r w:rsidRPr="00B270B8">
        <w:rPr>
          <w:rFonts w:eastAsiaTheme="minorHAnsi" w:cstheme="minorBidi"/>
          <w:color w:val="000000" w:themeColor="text1"/>
          <w:sz w:val="22"/>
          <w:szCs w:val="22"/>
        </w:rPr>
        <w:t xml:space="preserve"> </w:t>
      </w:r>
    </w:p>
    <w:p w14:paraId="125EB008" w14:textId="04D1D0FE" w:rsidR="008D2776" w:rsidRPr="00B270B8" w:rsidRDefault="008D2776" w:rsidP="0019692F">
      <w:pPr>
        <w:pStyle w:val="NoSpacing"/>
        <w:numPr>
          <w:ilvl w:val="0"/>
          <w:numId w:val="26"/>
        </w:numPr>
        <w:spacing w:after="120"/>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1 April 2021 - Garden waste subscription service starts.</w:t>
      </w:r>
      <w:r w:rsidR="008F1E1F" w:rsidRPr="00B270B8">
        <w:rPr>
          <w:rStyle w:val="SubtleEmphasis"/>
          <w:i w:val="0"/>
          <w:iCs w:val="0"/>
          <w:color w:val="000000" w:themeColor="text1"/>
          <w:sz w:val="22"/>
          <w:szCs w:val="22"/>
        </w:rPr>
        <w:t xml:space="preserve"> </w:t>
      </w:r>
      <w:r w:rsidRPr="00B270B8">
        <w:rPr>
          <w:rStyle w:val="SubtleEmphasis"/>
          <w:i w:val="0"/>
          <w:iCs w:val="0"/>
          <w:color w:val="000000" w:themeColor="text1"/>
          <w:sz w:val="22"/>
          <w:szCs w:val="22"/>
        </w:rPr>
        <w:t>By June, almost 75% of households across the District had signed up to chargeable garden waste subscription service.</w:t>
      </w:r>
    </w:p>
    <w:p w14:paraId="5593D1E3" w14:textId="77777777" w:rsidR="008D2776" w:rsidRPr="00B270B8" w:rsidRDefault="008D2776" w:rsidP="0019692F">
      <w:pPr>
        <w:pStyle w:val="NoSpacing"/>
        <w:numPr>
          <w:ilvl w:val="0"/>
          <w:numId w:val="25"/>
        </w:numPr>
        <w:spacing w:after="120"/>
        <w:ind w:left="1134" w:right="421" w:hanging="425"/>
        <w:rPr>
          <w:rStyle w:val="SubtleEmphasis"/>
          <w:i w:val="0"/>
          <w:iCs w:val="0"/>
          <w:color w:val="000000" w:themeColor="text1"/>
          <w:sz w:val="22"/>
          <w:szCs w:val="22"/>
        </w:rPr>
      </w:pPr>
      <w:r w:rsidRPr="00B270B8">
        <w:rPr>
          <w:rStyle w:val="SubtleEmphasis"/>
          <w:i w:val="0"/>
          <w:iCs w:val="0"/>
          <w:color w:val="000000" w:themeColor="text1"/>
          <w:sz w:val="22"/>
          <w:szCs w:val="22"/>
        </w:rPr>
        <w:t>Contract signed to create a new world-leading Material Recycling Facility (MRF).</w:t>
      </w:r>
    </w:p>
    <w:p w14:paraId="22E7C709" w14:textId="77777777" w:rsidR="008D2776" w:rsidRPr="00B270B8" w:rsidRDefault="008D2776" w:rsidP="0019692F">
      <w:pPr>
        <w:pStyle w:val="BodyText"/>
        <w:numPr>
          <w:ilvl w:val="0"/>
          <w:numId w:val="1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New Restart Grants paid to help businesses reopening after latest lockdown.</w:t>
      </w:r>
    </w:p>
    <w:p w14:paraId="30CB6861" w14:textId="77777777" w:rsidR="008D2776" w:rsidRPr="00B270B8" w:rsidRDefault="008D2776" w:rsidP="0019692F">
      <w:pPr>
        <w:pStyle w:val="BodyText"/>
        <w:numPr>
          <w:ilvl w:val="0"/>
          <w:numId w:val="1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In May 2021, Local elections took place for:</w:t>
      </w:r>
    </w:p>
    <w:p w14:paraId="06702F5A" w14:textId="77777777" w:rsidR="008D2776" w:rsidRPr="00B270B8" w:rsidRDefault="008D2776" w:rsidP="001804E1">
      <w:pPr>
        <w:pStyle w:val="ListParagraph"/>
        <w:numPr>
          <w:ilvl w:val="1"/>
          <w:numId w:val="35"/>
        </w:numPr>
        <w:ind w:right="421"/>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Warwickshire County Council</w:t>
      </w:r>
    </w:p>
    <w:p w14:paraId="18D54892" w14:textId="77777777" w:rsidR="008D2776" w:rsidRPr="00B270B8" w:rsidRDefault="008D2776" w:rsidP="001804E1">
      <w:pPr>
        <w:pStyle w:val="ListParagraph"/>
        <w:numPr>
          <w:ilvl w:val="1"/>
          <w:numId w:val="35"/>
        </w:numPr>
        <w:ind w:right="421"/>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Warwickshire Police and Crime Commissioner</w:t>
      </w:r>
    </w:p>
    <w:p w14:paraId="494DB758" w14:textId="27644736" w:rsidR="008D2776" w:rsidRPr="00B270B8" w:rsidRDefault="008D2776" w:rsidP="001804E1">
      <w:pPr>
        <w:pStyle w:val="ListParagraph"/>
        <w:numPr>
          <w:ilvl w:val="1"/>
          <w:numId w:val="35"/>
        </w:numPr>
        <w:ind w:right="421"/>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 xml:space="preserve">Planning Referendum – Alcester, Clifford Chambers and Milcote, </w:t>
      </w:r>
      <w:r w:rsidR="008F1E1F" w:rsidRPr="00B270B8">
        <w:rPr>
          <w:rStyle w:val="SubtleEmphasis"/>
          <w:i w:val="0"/>
          <w:iCs w:val="0"/>
          <w:color w:val="000000" w:themeColor="text1"/>
          <w:sz w:val="22"/>
          <w:szCs w:val="22"/>
        </w:rPr>
        <w:t>Ilmington</w:t>
      </w:r>
      <w:r w:rsidRPr="00B270B8">
        <w:rPr>
          <w:rStyle w:val="SubtleEmphasis"/>
          <w:i w:val="0"/>
          <w:iCs w:val="0"/>
          <w:color w:val="000000" w:themeColor="text1"/>
          <w:sz w:val="22"/>
          <w:szCs w:val="22"/>
        </w:rPr>
        <w:t>, Napton-on-the-hill</w:t>
      </w:r>
    </w:p>
    <w:p w14:paraId="457F8E8C" w14:textId="77777777"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Stratford and Warwick District Councils began work to produce a new South Warwickshire Local Plan to cover the combined geographic area.</w:t>
      </w:r>
    </w:p>
    <w:p w14:paraId="498C7A0F" w14:textId="52AA0730"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Local organisations received grant to support young people’s mental wellbeing</w:t>
      </w:r>
      <w:r w:rsidR="009C020D">
        <w:rPr>
          <w:rStyle w:val="SubtleEmphasis"/>
          <w:i w:val="0"/>
          <w:iCs w:val="0"/>
          <w:color w:val="000000" w:themeColor="text1"/>
          <w:sz w:val="22"/>
          <w:szCs w:val="22"/>
        </w:rPr>
        <w:t>.</w:t>
      </w:r>
    </w:p>
    <w:p w14:paraId="2D336C30" w14:textId="77777777"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Stratford and Warwick District Councils chosen by Government to test use of digital tools in planning process.</w:t>
      </w:r>
    </w:p>
    <w:p w14:paraId="177D4FB7" w14:textId="6619294B" w:rsidR="001804E1" w:rsidRPr="00874984" w:rsidRDefault="008D2776" w:rsidP="004761D4">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874984">
        <w:rPr>
          <w:rStyle w:val="SubtleEmphasis"/>
          <w:i w:val="0"/>
          <w:iCs w:val="0"/>
          <w:color w:val="000000" w:themeColor="text1"/>
          <w:sz w:val="22"/>
          <w:szCs w:val="22"/>
        </w:rPr>
        <w:t>Work continued on ‘pioneering Housing Plus’ Fred Winter Centre in Stratford-upon-Avon.</w:t>
      </w:r>
    </w:p>
    <w:p w14:paraId="72EC62A9" w14:textId="6DD7779C"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 xml:space="preserve">District Survey carried out, taking a look at the health and vitality of eight key high streets in </w:t>
      </w:r>
      <w:r w:rsidR="00874984">
        <w:rPr>
          <w:rStyle w:val="SubtleEmphasis"/>
          <w:i w:val="0"/>
          <w:iCs w:val="0"/>
          <w:color w:val="000000" w:themeColor="text1"/>
          <w:sz w:val="22"/>
          <w:szCs w:val="22"/>
        </w:rPr>
        <w:t xml:space="preserve">the </w:t>
      </w:r>
      <w:r w:rsidRPr="00B270B8">
        <w:rPr>
          <w:rStyle w:val="SubtleEmphasis"/>
          <w:i w:val="0"/>
          <w:iCs w:val="0"/>
          <w:color w:val="000000" w:themeColor="text1"/>
          <w:sz w:val="22"/>
          <w:szCs w:val="22"/>
        </w:rPr>
        <w:t xml:space="preserve">Stratford District – Stratford-upon-Avon, </w:t>
      </w:r>
      <w:r w:rsidRPr="00B270B8">
        <w:rPr>
          <w:rStyle w:val="SubtleEmphasis"/>
          <w:i w:val="0"/>
          <w:iCs w:val="0"/>
          <w:color w:val="000000" w:themeColor="text1"/>
          <w:sz w:val="22"/>
          <w:szCs w:val="22"/>
        </w:rPr>
        <w:lastRenderedPageBreak/>
        <w:t>Wellesbourne, Southam, Shipston-on-Stour, Bidford-on-Avon, Henley-in-Arden, Alcester and Studley.</w:t>
      </w:r>
    </w:p>
    <w:p w14:paraId="7191E67A" w14:textId="77777777"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In June 2021, the District Council submitted a bid with the Shakespeare Birthplace Trust to the Government’s Levelling-up Fund.</w:t>
      </w:r>
    </w:p>
    <w:p w14:paraId="0543C48B" w14:textId="77777777"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District Council reaffirmed commitment to tackling climate change by working together with Warwick District Council to address the declared climate emergency for South Warwickshire.</w:t>
      </w:r>
    </w:p>
    <w:p w14:paraId="13D7C378" w14:textId="77777777"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District Council approved new Active Communities Strategy Delivery Plan for the next three years.</w:t>
      </w:r>
    </w:p>
    <w:p w14:paraId="57728432" w14:textId="779B2D13"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New cycle training track opened on Stratford Rec</w:t>
      </w:r>
      <w:r w:rsidR="00B87BA4" w:rsidRPr="00B270B8">
        <w:rPr>
          <w:rStyle w:val="SubtleEmphasis"/>
          <w:i w:val="0"/>
          <w:iCs w:val="0"/>
          <w:color w:val="000000" w:themeColor="text1"/>
          <w:sz w:val="22"/>
          <w:szCs w:val="22"/>
        </w:rPr>
        <w:t>reation Ground</w:t>
      </w:r>
      <w:r w:rsidRPr="00B270B8">
        <w:rPr>
          <w:rStyle w:val="SubtleEmphasis"/>
          <w:i w:val="0"/>
          <w:iCs w:val="0"/>
          <w:color w:val="000000" w:themeColor="text1"/>
          <w:sz w:val="22"/>
          <w:szCs w:val="22"/>
        </w:rPr>
        <w:t>.</w:t>
      </w:r>
    </w:p>
    <w:p w14:paraId="5F465571" w14:textId="77777777"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District Council and SLM Ltd signed a new 10-year Leisure Management Contract.</w:t>
      </w:r>
    </w:p>
    <w:p w14:paraId="2848C3BE" w14:textId="77777777" w:rsidR="008D2776" w:rsidRPr="00B270B8" w:rsidRDefault="008D2776"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In August 2021, recycling collections started again, following the devastating fire at the Pure Recycling facility in Ettington – with alternative disposal arrangements for dry recyclable materials in place.</w:t>
      </w:r>
    </w:p>
    <w:p w14:paraId="0A8A14E3" w14:textId="77777777" w:rsidR="008D2776" w:rsidRPr="00B270B8" w:rsidRDefault="008D2776"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District Council received West Midlands Combined Authority’s (WMCA) Thrive at Work Wellbeing Award.</w:t>
      </w:r>
    </w:p>
    <w:p w14:paraId="6E4FF92A" w14:textId="77777777" w:rsidR="008D2776" w:rsidRPr="00B270B8" w:rsidRDefault="008D2776"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E-Cargo Bike grant funding success for SDC.</w:t>
      </w:r>
    </w:p>
    <w:p w14:paraId="0D16C303" w14:textId="77777777" w:rsidR="008D2776" w:rsidRPr="00B270B8" w:rsidRDefault="008D2776"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District Council secured funding from Local Authority Delivery (LAD) Scheme to help improve the energy efficiency of low-income households.</w:t>
      </w:r>
    </w:p>
    <w:p w14:paraId="3D43FC38" w14:textId="77777777" w:rsidR="008D2776" w:rsidRPr="00B270B8" w:rsidRDefault="008D2776"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Stratford and Warwick District Councils welcomed 50 families from Afghanistan.</w:t>
      </w:r>
    </w:p>
    <w:p w14:paraId="742FB7AC" w14:textId="77777777" w:rsidR="008D2776" w:rsidRPr="00B270B8" w:rsidRDefault="008D2776"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In September 2021, a public consultation began on the proposal to create a South Warwickshire Council.</w:t>
      </w:r>
    </w:p>
    <w:p w14:paraId="65A63EB0" w14:textId="42D5CC20" w:rsidR="008D2776" w:rsidRPr="00B270B8" w:rsidRDefault="00D96CE9"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Pr>
          <w:rStyle w:val="SubtleEmphasis"/>
          <w:i w:val="0"/>
          <w:iCs w:val="0"/>
          <w:color w:val="000000" w:themeColor="text1"/>
          <w:sz w:val="22"/>
          <w:szCs w:val="22"/>
        </w:rPr>
        <w:t xml:space="preserve">The </w:t>
      </w:r>
      <w:r w:rsidR="008D2776" w:rsidRPr="00B270B8">
        <w:rPr>
          <w:rStyle w:val="SubtleEmphasis"/>
          <w:i w:val="0"/>
          <w:iCs w:val="0"/>
          <w:color w:val="000000" w:themeColor="text1"/>
          <w:sz w:val="22"/>
          <w:szCs w:val="22"/>
        </w:rPr>
        <w:t xml:space="preserve">Cabinet approved support for </w:t>
      </w:r>
      <w:r>
        <w:rPr>
          <w:rStyle w:val="SubtleEmphasis"/>
          <w:i w:val="0"/>
          <w:iCs w:val="0"/>
          <w:color w:val="000000" w:themeColor="text1"/>
          <w:sz w:val="22"/>
          <w:szCs w:val="22"/>
        </w:rPr>
        <w:t xml:space="preserve">the </w:t>
      </w:r>
      <w:r w:rsidR="008D2776" w:rsidRPr="00B270B8">
        <w:rPr>
          <w:rStyle w:val="SubtleEmphasis"/>
          <w:i w:val="0"/>
          <w:iCs w:val="0"/>
          <w:color w:val="000000" w:themeColor="text1"/>
          <w:sz w:val="22"/>
          <w:szCs w:val="22"/>
        </w:rPr>
        <w:t>new Domestic Abuse Act 2021. </w:t>
      </w:r>
    </w:p>
    <w:p w14:paraId="35BFD3DC" w14:textId="77777777" w:rsidR="008D2776" w:rsidRPr="00B270B8" w:rsidRDefault="008D2776"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£61,000 of CIL developer contributions allocated to three projects across the District:</w:t>
      </w:r>
    </w:p>
    <w:p w14:paraId="1B2F644F" w14:textId="77777777" w:rsidR="008D2776" w:rsidRPr="00B270B8" w:rsidRDefault="008D2776" w:rsidP="0057788E">
      <w:pPr>
        <w:pStyle w:val="ListParagraph"/>
        <w:numPr>
          <w:ilvl w:val="1"/>
          <w:numId w:val="36"/>
        </w:numPr>
        <w:shd w:val="clear" w:color="auto" w:fill="FFFFFF"/>
        <w:tabs>
          <w:tab w:val="clear" w:pos="1440"/>
        </w:tabs>
        <w:ind w:right="421"/>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Restoration Phase of the Greig Memorial Hall, Alcester – £50,000</w:t>
      </w:r>
    </w:p>
    <w:p w14:paraId="0427E5D2" w14:textId="5721B356" w:rsidR="008D2776" w:rsidRPr="00B270B8" w:rsidRDefault="008D2776" w:rsidP="0057788E">
      <w:pPr>
        <w:pStyle w:val="ListParagraph"/>
        <w:numPr>
          <w:ilvl w:val="1"/>
          <w:numId w:val="36"/>
        </w:numPr>
        <w:shd w:val="clear" w:color="auto" w:fill="FFFFFF"/>
        <w:tabs>
          <w:tab w:val="clear" w:pos="1440"/>
        </w:tabs>
        <w:ind w:right="421"/>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Napton-on-the-Hill Community Electric Vehicle Charging Points – £5,910</w:t>
      </w:r>
    </w:p>
    <w:p w14:paraId="09A868D5" w14:textId="77777777" w:rsidR="008D2776" w:rsidRPr="00B270B8" w:rsidRDefault="008D2776" w:rsidP="0057788E">
      <w:pPr>
        <w:pStyle w:val="ListParagraph"/>
        <w:numPr>
          <w:ilvl w:val="1"/>
          <w:numId w:val="36"/>
        </w:numPr>
        <w:shd w:val="clear" w:color="auto" w:fill="FFFFFF"/>
        <w:tabs>
          <w:tab w:val="clear" w:pos="1440"/>
        </w:tabs>
        <w:ind w:right="421"/>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Meon Vale Pavilion Community Project – £5,000</w:t>
      </w:r>
    </w:p>
    <w:p w14:paraId="1CCA680E" w14:textId="660AB3F5" w:rsidR="008D2776" w:rsidRPr="00B270B8" w:rsidRDefault="008D2776"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District Council awarded £10,000 to Refuge to support</w:t>
      </w:r>
      <w:r w:rsidR="00CE2496">
        <w:rPr>
          <w:rStyle w:val="SubtleEmphasis"/>
          <w:i w:val="0"/>
          <w:iCs w:val="0"/>
          <w:color w:val="000000" w:themeColor="text1"/>
          <w:sz w:val="22"/>
          <w:szCs w:val="22"/>
        </w:rPr>
        <w:t xml:space="preserve"> the </w:t>
      </w:r>
      <w:r w:rsidRPr="00B270B8">
        <w:rPr>
          <w:rStyle w:val="SubtleEmphasis"/>
          <w:i w:val="0"/>
          <w:iCs w:val="0"/>
          <w:color w:val="000000" w:themeColor="text1"/>
          <w:sz w:val="22"/>
          <w:szCs w:val="22"/>
        </w:rPr>
        <w:t>domestic abuse outreach service.</w:t>
      </w:r>
    </w:p>
    <w:p w14:paraId="1C06AF2A" w14:textId="77777777" w:rsidR="008D2776" w:rsidRDefault="008D2776" w:rsidP="0019692F">
      <w:pPr>
        <w:pStyle w:val="ListParagraph"/>
        <w:numPr>
          <w:ilvl w:val="0"/>
          <w:numId w:val="14"/>
        </w:numPr>
        <w:shd w:val="clear" w:color="auto" w:fill="FFFFFF"/>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District Council awarded £1.2 million from The Additional Restrictions Grant (ARG) scheme, to support businesses that were not covered by other grant schemes.</w:t>
      </w:r>
    </w:p>
    <w:p w14:paraId="477A9C13" w14:textId="77777777"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District Council publishes Annual Review: Affordable Housing Development Programme – which sees the second highest total of 386 new affordable homes built. Bringing the total number of affordable homes built across the District over the last 10 years to 2,709.</w:t>
      </w:r>
    </w:p>
    <w:p w14:paraId="45C2591F" w14:textId="77777777" w:rsidR="008D2776" w:rsidRPr="00B270B8" w:rsidRDefault="008D2776" w:rsidP="0019692F">
      <w:pPr>
        <w:pStyle w:val="ListParagraph"/>
        <w:numPr>
          <w:ilvl w:val="0"/>
          <w:numId w:val="1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lastRenderedPageBreak/>
        <w:t>Stratford and Warwick District Councils agreed joint waste contract with Biffa Waste Services Ltd.</w:t>
      </w:r>
    </w:p>
    <w:p w14:paraId="4BE1DA65" w14:textId="547A7F4E" w:rsidR="008D2776" w:rsidRPr="00B270B8" w:rsidRDefault="008D2776" w:rsidP="0019692F">
      <w:pPr>
        <w:pStyle w:val="ListParagraph"/>
        <w:numPr>
          <w:ilvl w:val="0"/>
          <w:numId w:val="2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 xml:space="preserve">In October 2021, </w:t>
      </w:r>
      <w:r w:rsidR="00425824">
        <w:rPr>
          <w:rStyle w:val="SubtleEmphasis"/>
          <w:i w:val="0"/>
          <w:iCs w:val="0"/>
          <w:color w:val="000000" w:themeColor="text1"/>
          <w:sz w:val="22"/>
          <w:szCs w:val="22"/>
        </w:rPr>
        <w:t xml:space="preserve">Stratford </w:t>
      </w:r>
      <w:r w:rsidRPr="00B270B8">
        <w:rPr>
          <w:rStyle w:val="SubtleEmphasis"/>
          <w:i w:val="0"/>
          <w:iCs w:val="0"/>
          <w:color w:val="000000" w:themeColor="text1"/>
          <w:sz w:val="22"/>
          <w:szCs w:val="22"/>
        </w:rPr>
        <w:t>District Council hosted a Recruitment Fair, in conjunction with the return of the Mop Fair.</w:t>
      </w:r>
    </w:p>
    <w:p w14:paraId="32843041" w14:textId="77777777" w:rsidR="008D2776" w:rsidRPr="00B270B8" w:rsidRDefault="008D2776" w:rsidP="0019692F">
      <w:pPr>
        <w:pStyle w:val="ListParagraph"/>
        <w:numPr>
          <w:ilvl w:val="0"/>
          <w:numId w:val="24"/>
        </w:numPr>
        <w:ind w:left="1134" w:right="421" w:hanging="425"/>
        <w:contextualSpacing w:val="0"/>
        <w:jc w:val="left"/>
        <w:rPr>
          <w:rStyle w:val="SubtleEmphasis"/>
          <w:i w:val="0"/>
          <w:iCs w:val="0"/>
          <w:color w:val="000000" w:themeColor="text1"/>
          <w:sz w:val="22"/>
          <w:szCs w:val="22"/>
        </w:rPr>
      </w:pPr>
      <w:r w:rsidRPr="00B270B8">
        <w:rPr>
          <w:rStyle w:val="SubtleEmphasis"/>
          <w:i w:val="0"/>
          <w:iCs w:val="0"/>
          <w:color w:val="000000" w:themeColor="text1"/>
          <w:sz w:val="22"/>
          <w:szCs w:val="22"/>
        </w:rPr>
        <w:t>District Council adopted new Housing Strategy for the District.</w:t>
      </w:r>
    </w:p>
    <w:p w14:paraId="143C061B" w14:textId="77777777" w:rsidR="008D2776" w:rsidRPr="00B270B8" w:rsidRDefault="008D2776" w:rsidP="0019692F">
      <w:pPr>
        <w:pStyle w:val="BodyText"/>
        <w:numPr>
          <w:ilvl w:val="0"/>
          <w:numId w:val="2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SDC Councillors took part in a woodland educational and tree planting day with The Heart of England Forest.</w:t>
      </w:r>
    </w:p>
    <w:p w14:paraId="5DC30124" w14:textId="77777777" w:rsidR="008D2776" w:rsidRPr="00B270B8" w:rsidRDefault="008D2776" w:rsidP="0019692F">
      <w:pPr>
        <w:pStyle w:val="BodyText"/>
        <w:numPr>
          <w:ilvl w:val="0"/>
          <w:numId w:val="2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Everyone Active introduced a new role to boost health and wellbeing across the District.</w:t>
      </w:r>
    </w:p>
    <w:p w14:paraId="1D0F98EC" w14:textId="77777777" w:rsidR="008D2776" w:rsidRPr="00B270B8" w:rsidRDefault="008D2776" w:rsidP="0019692F">
      <w:pPr>
        <w:pStyle w:val="BodyText"/>
        <w:numPr>
          <w:ilvl w:val="0"/>
          <w:numId w:val="2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The Riverside Project gained planning approval.</w:t>
      </w:r>
    </w:p>
    <w:p w14:paraId="7A6A5D36" w14:textId="77777777" w:rsidR="008D2776" w:rsidRPr="00B270B8" w:rsidRDefault="008D2776" w:rsidP="0019692F">
      <w:pPr>
        <w:pStyle w:val="BodyText"/>
        <w:numPr>
          <w:ilvl w:val="0"/>
          <w:numId w:val="2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In December 2021, Stratford’s award-winning Victorian Market returned.</w:t>
      </w:r>
    </w:p>
    <w:p w14:paraId="5D86EBC2" w14:textId="77777777" w:rsidR="008D2776" w:rsidRPr="00B270B8" w:rsidRDefault="008D2776" w:rsidP="0019692F">
      <w:pPr>
        <w:pStyle w:val="BodyText"/>
        <w:numPr>
          <w:ilvl w:val="0"/>
          <w:numId w:val="2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At the end of the year, Stratford and Warwick District Councils agreed to formally submit a request to the Secretary of State at the Department for Levelling Up, Housing and Communities (DLUHC) to create a South Warwickshire District Council.</w:t>
      </w:r>
    </w:p>
    <w:p w14:paraId="1C0F5728" w14:textId="20A4F511" w:rsidR="008D2776" w:rsidRPr="00B270B8" w:rsidRDefault="008D2776" w:rsidP="0019692F">
      <w:pPr>
        <w:pStyle w:val="BodyText"/>
        <w:numPr>
          <w:ilvl w:val="0"/>
          <w:numId w:val="2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In January 2022, the District Council received £2.7</w:t>
      </w:r>
      <w:r w:rsidR="00A5766B">
        <w:rPr>
          <w:rStyle w:val="SubtleEmphasis"/>
          <w:i w:val="0"/>
          <w:iCs w:val="0"/>
          <w:color w:val="000000" w:themeColor="text1"/>
          <w:sz w:val="22"/>
          <w:szCs w:val="22"/>
        </w:rPr>
        <w:t>m</w:t>
      </w:r>
      <w:r w:rsidRPr="00B270B8">
        <w:rPr>
          <w:rStyle w:val="SubtleEmphasis"/>
          <w:i w:val="0"/>
          <w:iCs w:val="0"/>
          <w:color w:val="000000" w:themeColor="text1"/>
          <w:sz w:val="22"/>
          <w:szCs w:val="22"/>
        </w:rPr>
        <w:t xml:space="preserve"> from Government for the Omicron Hospitality and Leisure Grant scheme.</w:t>
      </w:r>
    </w:p>
    <w:p w14:paraId="138F5FAB" w14:textId="77777777" w:rsidR="008D2776" w:rsidRPr="00B270B8" w:rsidRDefault="008D2776" w:rsidP="0019692F">
      <w:pPr>
        <w:pStyle w:val="BodyText"/>
        <w:numPr>
          <w:ilvl w:val="0"/>
          <w:numId w:val="2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Work started on The Riverside Project.</w:t>
      </w:r>
    </w:p>
    <w:p w14:paraId="7E55D731" w14:textId="4E13BE6F" w:rsidR="008D2776" w:rsidRPr="00B270B8" w:rsidRDefault="008D2776" w:rsidP="0019692F">
      <w:pPr>
        <w:pStyle w:val="BodyText"/>
        <w:numPr>
          <w:ilvl w:val="0"/>
          <w:numId w:val="2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A multi-agency community safety event was held at Meon Vale</w:t>
      </w:r>
      <w:r w:rsidR="00593AFA" w:rsidRPr="00B270B8">
        <w:rPr>
          <w:rStyle w:val="SubtleEmphasis"/>
          <w:i w:val="0"/>
          <w:iCs w:val="0"/>
          <w:color w:val="000000" w:themeColor="text1"/>
          <w:sz w:val="22"/>
          <w:szCs w:val="22"/>
        </w:rPr>
        <w:t>.</w:t>
      </w:r>
    </w:p>
    <w:p w14:paraId="3E2D7C38" w14:textId="77777777" w:rsidR="008D2776" w:rsidRPr="00B270B8" w:rsidRDefault="008D2776" w:rsidP="0019692F">
      <w:pPr>
        <w:pStyle w:val="BodyText"/>
        <w:numPr>
          <w:ilvl w:val="0"/>
          <w:numId w:val="24"/>
        </w:numPr>
        <w:ind w:left="1134" w:right="421" w:hanging="425"/>
        <w:jc w:val="left"/>
        <w:rPr>
          <w:rStyle w:val="SubtleEmphasis"/>
          <w:i w:val="0"/>
          <w:iCs w:val="0"/>
          <w:color w:val="000000" w:themeColor="text1"/>
          <w:sz w:val="22"/>
          <w:szCs w:val="22"/>
        </w:rPr>
      </w:pPr>
      <w:r w:rsidRPr="00B270B8">
        <w:rPr>
          <w:rStyle w:val="SubtleEmphasis"/>
          <w:i w:val="0"/>
          <w:iCs w:val="0"/>
          <w:color w:val="000000" w:themeColor="text1"/>
          <w:sz w:val="22"/>
          <w:szCs w:val="22"/>
        </w:rPr>
        <w:t>Stratford and Warwick District Councils worked with local charity Act On Energy to promote the grants, advice and support available to residents in South Warwickshire impacted by the energy price rises.</w:t>
      </w:r>
    </w:p>
    <w:p w14:paraId="040535F5" w14:textId="2550A007" w:rsidR="008D2776" w:rsidRPr="00F8060C" w:rsidRDefault="008D2776" w:rsidP="0019692F">
      <w:pPr>
        <w:pStyle w:val="BodyText"/>
        <w:numPr>
          <w:ilvl w:val="0"/>
          <w:numId w:val="24"/>
        </w:numPr>
        <w:ind w:left="1134" w:right="421" w:hanging="425"/>
        <w:jc w:val="left"/>
        <w:rPr>
          <w:color w:val="000000" w:themeColor="text1"/>
          <w:sz w:val="22"/>
          <w:szCs w:val="22"/>
        </w:rPr>
      </w:pPr>
      <w:r w:rsidRPr="00B270B8">
        <w:rPr>
          <w:rStyle w:val="SubtleEmphasis"/>
          <w:i w:val="0"/>
          <w:iCs w:val="0"/>
          <w:color w:val="000000" w:themeColor="text1"/>
          <w:sz w:val="22"/>
          <w:szCs w:val="22"/>
        </w:rPr>
        <w:t>Stratford and Warwick District Councils stepped in to support Homes for Ukraine scheme.</w:t>
      </w:r>
    </w:p>
    <w:p w14:paraId="3A9023BA" w14:textId="214AB10F" w:rsidR="008B3CFD" w:rsidRPr="00270D2F" w:rsidRDefault="008B3CFD" w:rsidP="00F8060C">
      <w:pPr>
        <w:pStyle w:val="ListParagraph"/>
        <w:numPr>
          <w:ilvl w:val="1"/>
          <w:numId w:val="12"/>
        </w:numPr>
        <w:shd w:val="clear" w:color="auto" w:fill="FFFFFF"/>
        <w:ind w:right="421"/>
        <w:contextualSpacing w:val="0"/>
        <w:jc w:val="left"/>
        <w:rPr>
          <w:rFonts w:cs="Arial"/>
          <w:bCs/>
          <w:iCs/>
          <w:sz w:val="22"/>
          <w:szCs w:val="22"/>
          <w:lang w:val="en" w:eastAsia="en-GB"/>
        </w:rPr>
      </w:pPr>
      <w:r w:rsidRPr="00270D2F">
        <w:rPr>
          <w:rFonts w:cs="Arial"/>
          <w:bCs/>
          <w:iCs/>
          <w:sz w:val="22"/>
          <w:szCs w:val="22"/>
          <w:lang w:val="en" w:eastAsia="en-GB"/>
        </w:rPr>
        <w:t>We continue to develop our relationships at a regional level</w:t>
      </w:r>
      <w:r w:rsidR="006E6716" w:rsidRPr="00270D2F">
        <w:rPr>
          <w:rFonts w:cs="Arial"/>
          <w:bCs/>
          <w:iCs/>
          <w:sz w:val="22"/>
          <w:szCs w:val="22"/>
          <w:lang w:val="en" w:eastAsia="en-GB"/>
        </w:rPr>
        <w:t>,</w:t>
      </w:r>
      <w:r w:rsidRPr="00270D2F">
        <w:rPr>
          <w:rFonts w:cs="Arial"/>
          <w:bCs/>
          <w:iCs/>
          <w:sz w:val="22"/>
          <w:szCs w:val="22"/>
          <w:lang w:val="en" w:eastAsia="en-GB"/>
        </w:rPr>
        <w:t xml:space="preserve"> where we play a full role in CWLEP and the WMCA. In the latter case we are members of:</w:t>
      </w:r>
    </w:p>
    <w:p w14:paraId="46B75B81" w14:textId="77777777" w:rsidR="008B3CFD" w:rsidRPr="00270D2F" w:rsidRDefault="008B3CFD" w:rsidP="0019692F">
      <w:pPr>
        <w:pStyle w:val="ListParagraph"/>
        <w:numPr>
          <w:ilvl w:val="0"/>
          <w:numId w:val="21"/>
        </w:numPr>
        <w:shd w:val="clear" w:color="auto" w:fill="FFFFFF"/>
        <w:ind w:left="1134" w:right="421" w:hanging="425"/>
        <w:contextualSpacing w:val="0"/>
        <w:jc w:val="left"/>
        <w:rPr>
          <w:rFonts w:cs="Arial"/>
          <w:bCs/>
          <w:iCs/>
          <w:sz w:val="22"/>
          <w:szCs w:val="22"/>
          <w:lang w:val="en" w:eastAsia="en-GB"/>
        </w:rPr>
      </w:pPr>
      <w:r w:rsidRPr="00270D2F">
        <w:rPr>
          <w:rFonts w:cs="Arial"/>
          <w:bCs/>
          <w:iCs/>
          <w:sz w:val="22"/>
          <w:szCs w:val="22"/>
          <w:lang w:val="en" w:eastAsia="en-GB"/>
        </w:rPr>
        <w:t>The WMCA itself</w:t>
      </w:r>
    </w:p>
    <w:p w14:paraId="033E41E7" w14:textId="1A8B13A2" w:rsidR="008B3CFD" w:rsidRPr="00270D2F" w:rsidRDefault="008B3CFD" w:rsidP="0019692F">
      <w:pPr>
        <w:pStyle w:val="ListParagraph"/>
        <w:numPr>
          <w:ilvl w:val="0"/>
          <w:numId w:val="21"/>
        </w:numPr>
        <w:shd w:val="clear" w:color="auto" w:fill="FFFFFF"/>
        <w:ind w:left="1134" w:right="421" w:hanging="425"/>
        <w:contextualSpacing w:val="0"/>
        <w:jc w:val="left"/>
        <w:rPr>
          <w:rFonts w:cs="Arial"/>
          <w:bCs/>
          <w:iCs/>
          <w:sz w:val="22"/>
          <w:szCs w:val="22"/>
          <w:lang w:val="en" w:eastAsia="en-GB"/>
        </w:rPr>
      </w:pPr>
      <w:r w:rsidRPr="00270D2F">
        <w:rPr>
          <w:rFonts w:cs="Arial"/>
          <w:bCs/>
          <w:iCs/>
          <w:sz w:val="22"/>
          <w:szCs w:val="22"/>
          <w:lang w:val="en" w:eastAsia="en-GB"/>
        </w:rPr>
        <w:t xml:space="preserve">The </w:t>
      </w:r>
      <w:r w:rsidR="000C0213" w:rsidRPr="00270D2F">
        <w:rPr>
          <w:rFonts w:cs="Arial"/>
          <w:bCs/>
          <w:iCs/>
          <w:sz w:val="22"/>
          <w:szCs w:val="22"/>
          <w:lang w:val="en" w:eastAsia="en-GB"/>
        </w:rPr>
        <w:t>H</w:t>
      </w:r>
      <w:r w:rsidRPr="00270D2F">
        <w:rPr>
          <w:rFonts w:cs="Arial"/>
          <w:bCs/>
          <w:iCs/>
          <w:sz w:val="22"/>
          <w:szCs w:val="22"/>
          <w:lang w:val="en" w:eastAsia="en-GB"/>
        </w:rPr>
        <w:t>ousing and Land Board</w:t>
      </w:r>
    </w:p>
    <w:p w14:paraId="0672ECD3" w14:textId="77777777" w:rsidR="008B3CFD" w:rsidRPr="00270D2F" w:rsidRDefault="008B3CFD" w:rsidP="0019692F">
      <w:pPr>
        <w:pStyle w:val="ListParagraph"/>
        <w:numPr>
          <w:ilvl w:val="0"/>
          <w:numId w:val="21"/>
        </w:numPr>
        <w:shd w:val="clear" w:color="auto" w:fill="FFFFFF"/>
        <w:ind w:left="1134" w:right="421" w:hanging="425"/>
        <w:contextualSpacing w:val="0"/>
        <w:jc w:val="left"/>
        <w:rPr>
          <w:rFonts w:cs="Arial"/>
          <w:bCs/>
          <w:iCs/>
          <w:sz w:val="22"/>
          <w:szCs w:val="22"/>
          <w:lang w:val="en" w:eastAsia="en-GB"/>
        </w:rPr>
      </w:pPr>
      <w:r w:rsidRPr="00270D2F">
        <w:rPr>
          <w:rFonts w:cs="Arial"/>
          <w:bCs/>
          <w:iCs/>
          <w:sz w:val="22"/>
          <w:szCs w:val="22"/>
          <w:lang w:val="en" w:eastAsia="en-GB"/>
        </w:rPr>
        <w:t>The Investment Board</w:t>
      </w:r>
    </w:p>
    <w:p w14:paraId="01F40D16" w14:textId="77777777" w:rsidR="008B3CFD" w:rsidRPr="00270D2F" w:rsidRDefault="008B3CFD" w:rsidP="0019692F">
      <w:pPr>
        <w:pStyle w:val="ListParagraph"/>
        <w:numPr>
          <w:ilvl w:val="0"/>
          <w:numId w:val="21"/>
        </w:numPr>
        <w:shd w:val="clear" w:color="auto" w:fill="FFFFFF"/>
        <w:ind w:left="1134" w:right="421" w:hanging="425"/>
        <w:contextualSpacing w:val="0"/>
        <w:jc w:val="left"/>
        <w:rPr>
          <w:rFonts w:cs="Arial"/>
          <w:bCs/>
          <w:iCs/>
          <w:sz w:val="22"/>
          <w:szCs w:val="22"/>
          <w:lang w:val="en" w:eastAsia="en-GB"/>
        </w:rPr>
      </w:pPr>
      <w:r w:rsidRPr="00270D2F">
        <w:rPr>
          <w:rFonts w:cs="Arial"/>
          <w:bCs/>
          <w:iCs/>
          <w:sz w:val="22"/>
          <w:szCs w:val="22"/>
          <w:lang w:val="en" w:eastAsia="en-GB"/>
        </w:rPr>
        <w:t>The Growth Company</w:t>
      </w:r>
    </w:p>
    <w:p w14:paraId="1C0EC0C8" w14:textId="57BD17E8" w:rsidR="00320129" w:rsidRDefault="008B3CFD" w:rsidP="0019692F">
      <w:pPr>
        <w:pStyle w:val="ListParagraph"/>
        <w:numPr>
          <w:ilvl w:val="0"/>
          <w:numId w:val="21"/>
        </w:numPr>
        <w:shd w:val="clear" w:color="auto" w:fill="FFFFFF"/>
        <w:ind w:left="1134" w:right="421" w:hanging="425"/>
        <w:contextualSpacing w:val="0"/>
        <w:jc w:val="left"/>
        <w:rPr>
          <w:rFonts w:cs="Arial"/>
          <w:bCs/>
          <w:iCs/>
          <w:sz w:val="22"/>
          <w:szCs w:val="22"/>
          <w:lang w:val="en" w:eastAsia="en-GB"/>
        </w:rPr>
      </w:pPr>
      <w:r w:rsidRPr="00270D2F">
        <w:rPr>
          <w:rFonts w:cs="Arial"/>
          <w:bCs/>
          <w:iCs/>
          <w:sz w:val="22"/>
          <w:szCs w:val="22"/>
          <w:lang w:val="en" w:eastAsia="en-GB"/>
        </w:rPr>
        <w:t xml:space="preserve">The Economic Impact </w:t>
      </w:r>
      <w:r w:rsidR="00270D2F" w:rsidRPr="00270D2F">
        <w:rPr>
          <w:rFonts w:cs="Arial"/>
          <w:bCs/>
          <w:iCs/>
          <w:sz w:val="22"/>
          <w:szCs w:val="22"/>
          <w:lang w:val="en" w:eastAsia="en-GB"/>
        </w:rPr>
        <w:t>G</w:t>
      </w:r>
      <w:r w:rsidRPr="00270D2F">
        <w:rPr>
          <w:rFonts w:cs="Arial"/>
          <w:bCs/>
          <w:iCs/>
          <w:sz w:val="22"/>
          <w:szCs w:val="22"/>
          <w:lang w:val="en" w:eastAsia="en-GB"/>
        </w:rPr>
        <w:t>roup</w:t>
      </w:r>
    </w:p>
    <w:p w14:paraId="309B7AA7" w14:textId="04056D1B" w:rsidR="00A70302" w:rsidRPr="00320129" w:rsidRDefault="00320129" w:rsidP="00320129">
      <w:pPr>
        <w:spacing w:after="0"/>
        <w:ind w:left="0" w:firstLine="0"/>
        <w:jc w:val="left"/>
        <w:rPr>
          <w:rFonts w:cs="Arial"/>
          <w:bCs/>
          <w:iCs/>
          <w:sz w:val="22"/>
          <w:szCs w:val="22"/>
          <w:lang w:val="en" w:eastAsia="en-GB"/>
        </w:rPr>
      </w:pPr>
      <w:r>
        <w:rPr>
          <w:rFonts w:cs="Arial"/>
          <w:bCs/>
          <w:iCs/>
          <w:sz w:val="22"/>
          <w:szCs w:val="22"/>
          <w:lang w:val="en" w:eastAsia="en-GB"/>
        </w:rPr>
        <w:br w:type="page"/>
      </w:r>
    </w:p>
    <w:p w14:paraId="4A16B010" w14:textId="77777777" w:rsidR="006B0BEF" w:rsidRPr="00E256D8" w:rsidRDefault="006B0BEF" w:rsidP="00F8060C">
      <w:pPr>
        <w:pStyle w:val="ListParagraph"/>
        <w:numPr>
          <w:ilvl w:val="0"/>
          <w:numId w:val="12"/>
        </w:numPr>
        <w:ind w:left="709" w:hanging="709"/>
        <w:contextualSpacing w:val="0"/>
        <w:jc w:val="left"/>
        <w:rPr>
          <w:snapToGrid w:val="0"/>
          <w:sz w:val="22"/>
          <w:szCs w:val="22"/>
        </w:rPr>
      </w:pPr>
      <w:r w:rsidRPr="00E256D8">
        <w:rPr>
          <w:b/>
          <w:sz w:val="22"/>
          <w:szCs w:val="22"/>
        </w:rPr>
        <w:lastRenderedPageBreak/>
        <w:t xml:space="preserve">Key Issues and Targets </w:t>
      </w:r>
    </w:p>
    <w:p w14:paraId="144699A5" w14:textId="50D1B593" w:rsidR="00C25E87" w:rsidRPr="00E256D8" w:rsidRDefault="008D7D3E" w:rsidP="00320129">
      <w:pPr>
        <w:pStyle w:val="BodyText"/>
        <w:numPr>
          <w:ilvl w:val="0"/>
          <w:numId w:val="0"/>
        </w:numPr>
        <w:tabs>
          <w:tab w:val="left" w:pos="0"/>
        </w:tabs>
        <w:ind w:left="709" w:right="421"/>
        <w:jc w:val="left"/>
        <w:rPr>
          <w:sz w:val="22"/>
          <w:szCs w:val="22"/>
        </w:rPr>
      </w:pPr>
      <w:r>
        <w:rPr>
          <w:sz w:val="22"/>
          <w:szCs w:val="22"/>
        </w:rPr>
        <w:tab/>
      </w:r>
      <w:r w:rsidR="006B0BEF" w:rsidRPr="00E256D8">
        <w:rPr>
          <w:sz w:val="22"/>
          <w:szCs w:val="22"/>
        </w:rPr>
        <w:t xml:space="preserve">The </w:t>
      </w:r>
      <w:r w:rsidR="00E256D8" w:rsidRPr="00E256D8">
        <w:rPr>
          <w:sz w:val="22"/>
          <w:szCs w:val="22"/>
        </w:rPr>
        <w:t>second</w:t>
      </w:r>
      <w:r w:rsidR="006B0BEF" w:rsidRPr="00E256D8">
        <w:rPr>
          <w:sz w:val="22"/>
          <w:szCs w:val="22"/>
        </w:rPr>
        <w:t xml:space="preserve"> year of the Council</w:t>
      </w:r>
      <w:r w:rsidR="00D61D53" w:rsidRPr="00E256D8">
        <w:rPr>
          <w:sz w:val="22"/>
          <w:szCs w:val="22"/>
        </w:rPr>
        <w:t xml:space="preserve"> Plan </w:t>
      </w:r>
      <w:r w:rsidR="006B0BEF" w:rsidRPr="00E256D8">
        <w:rPr>
          <w:sz w:val="22"/>
          <w:szCs w:val="22"/>
        </w:rPr>
        <w:t>has been completed</w:t>
      </w:r>
      <w:r w:rsidR="00EB6225" w:rsidRPr="00E256D8">
        <w:rPr>
          <w:sz w:val="22"/>
          <w:szCs w:val="22"/>
        </w:rPr>
        <w:t xml:space="preserve"> (followin</w:t>
      </w:r>
      <w:r w:rsidR="001C03D2" w:rsidRPr="00E256D8">
        <w:rPr>
          <w:sz w:val="22"/>
          <w:szCs w:val="22"/>
        </w:rPr>
        <w:t xml:space="preserve">g </w:t>
      </w:r>
      <w:r w:rsidR="00A948A6" w:rsidRPr="00E256D8">
        <w:rPr>
          <w:sz w:val="22"/>
          <w:szCs w:val="22"/>
        </w:rPr>
        <w:t>position is as at 31 March 202</w:t>
      </w:r>
      <w:r w:rsidR="00E256D8" w:rsidRPr="00E256D8">
        <w:rPr>
          <w:sz w:val="22"/>
          <w:szCs w:val="22"/>
        </w:rPr>
        <w:t>2</w:t>
      </w:r>
      <w:r w:rsidR="00EB6225" w:rsidRPr="00E256D8">
        <w:rPr>
          <w:sz w:val="22"/>
          <w:szCs w:val="22"/>
        </w:rPr>
        <w:t>)</w:t>
      </w:r>
      <w:r w:rsidR="006B0BEF" w:rsidRPr="00E256D8">
        <w:rPr>
          <w:sz w:val="22"/>
          <w:szCs w:val="22"/>
        </w:rPr>
        <w:t>:</w:t>
      </w:r>
    </w:p>
    <w:p w14:paraId="6EB02381" w14:textId="33BBAFC4" w:rsidR="006B0BEF" w:rsidRPr="00E256D8" w:rsidRDefault="006527F0" w:rsidP="00F8060C">
      <w:pPr>
        <w:pStyle w:val="BodyText"/>
        <w:numPr>
          <w:ilvl w:val="1"/>
          <w:numId w:val="12"/>
        </w:numPr>
        <w:tabs>
          <w:tab w:val="left" w:pos="0"/>
        </w:tabs>
        <w:ind w:right="421"/>
        <w:jc w:val="left"/>
        <w:rPr>
          <w:sz w:val="22"/>
          <w:szCs w:val="22"/>
        </w:rPr>
      </w:pPr>
      <w:r>
        <w:rPr>
          <w:b/>
          <w:i/>
          <w:sz w:val="22"/>
          <w:szCs w:val="22"/>
        </w:rPr>
        <w:t>Priority</w:t>
      </w:r>
      <w:r w:rsidR="006B0BEF" w:rsidRPr="00E256D8">
        <w:rPr>
          <w:b/>
          <w:i/>
          <w:sz w:val="22"/>
          <w:szCs w:val="22"/>
        </w:rPr>
        <w:t xml:space="preserve"> 1 –</w:t>
      </w:r>
      <w:r w:rsidR="00A948A6" w:rsidRPr="00E256D8">
        <w:rPr>
          <w:b/>
          <w:i/>
          <w:sz w:val="22"/>
          <w:szCs w:val="22"/>
        </w:rPr>
        <w:t>Working on regional, national and international stages</w:t>
      </w:r>
    </w:p>
    <w:p w14:paraId="3A586EBB" w14:textId="79CBBD53" w:rsidR="00CB645C" w:rsidRPr="00C25E87" w:rsidRDefault="00A948A6" w:rsidP="00C25E87">
      <w:pPr>
        <w:pStyle w:val="ListParagraph"/>
        <w:widowControl w:val="0"/>
        <w:numPr>
          <w:ilvl w:val="0"/>
          <w:numId w:val="5"/>
        </w:numPr>
        <w:overflowPunct w:val="0"/>
        <w:adjustRightInd w:val="0"/>
        <w:ind w:left="1134" w:right="421" w:hanging="414"/>
        <w:contextualSpacing w:val="0"/>
        <w:jc w:val="left"/>
        <w:rPr>
          <w:sz w:val="22"/>
          <w:szCs w:val="22"/>
        </w:rPr>
      </w:pPr>
      <w:r w:rsidRPr="00E256D8">
        <w:rPr>
          <w:sz w:val="22"/>
          <w:szCs w:val="22"/>
        </w:rPr>
        <w:t>Raise the District’s profile nationally and regionally to deliver benefits for residents</w:t>
      </w:r>
      <w:r w:rsidR="00CA432A">
        <w:rPr>
          <w:sz w:val="22"/>
          <w:szCs w:val="22"/>
        </w:rPr>
        <w:t>.</w:t>
      </w:r>
    </w:p>
    <w:p w14:paraId="4FC6AAC0" w14:textId="2C069F40" w:rsidR="00A948A6" w:rsidRPr="00E256D8" w:rsidRDefault="00A948A6" w:rsidP="0019692F">
      <w:pPr>
        <w:pStyle w:val="ListParagraph"/>
        <w:widowControl w:val="0"/>
        <w:numPr>
          <w:ilvl w:val="0"/>
          <w:numId w:val="5"/>
        </w:numPr>
        <w:overflowPunct w:val="0"/>
        <w:adjustRightInd w:val="0"/>
        <w:ind w:left="1134" w:right="421" w:hanging="414"/>
        <w:contextualSpacing w:val="0"/>
        <w:jc w:val="left"/>
        <w:rPr>
          <w:b/>
          <w:i/>
          <w:sz w:val="22"/>
          <w:szCs w:val="22"/>
        </w:rPr>
      </w:pPr>
      <w:r w:rsidRPr="00E256D8">
        <w:rPr>
          <w:sz w:val="22"/>
          <w:szCs w:val="22"/>
        </w:rPr>
        <w:t>Work ever more closely with Warwickshire County Council, regional authorities and institutions, neighbouring districts and town and parish councils on shared priorities</w:t>
      </w:r>
      <w:r w:rsidR="00CA432A">
        <w:rPr>
          <w:sz w:val="22"/>
          <w:szCs w:val="22"/>
        </w:rPr>
        <w:t>.</w:t>
      </w:r>
    </w:p>
    <w:p w14:paraId="206246FA" w14:textId="151820E9" w:rsidR="00A948A6" w:rsidRPr="00E256D8" w:rsidRDefault="00A948A6" w:rsidP="0019692F">
      <w:pPr>
        <w:pStyle w:val="ListParagraph"/>
        <w:widowControl w:val="0"/>
        <w:numPr>
          <w:ilvl w:val="0"/>
          <w:numId w:val="5"/>
        </w:numPr>
        <w:overflowPunct w:val="0"/>
        <w:adjustRightInd w:val="0"/>
        <w:ind w:left="1134" w:right="421" w:hanging="414"/>
        <w:contextualSpacing w:val="0"/>
        <w:jc w:val="left"/>
        <w:rPr>
          <w:b/>
          <w:i/>
          <w:sz w:val="22"/>
          <w:szCs w:val="22"/>
        </w:rPr>
      </w:pPr>
      <w:r w:rsidRPr="00E256D8">
        <w:rPr>
          <w:sz w:val="22"/>
          <w:szCs w:val="22"/>
        </w:rPr>
        <w:t>Ensure the district benefits from Coventry City of Culture (2021) and the Birmingham Commonwealth Games (2022)</w:t>
      </w:r>
      <w:r w:rsidR="00CA432A">
        <w:rPr>
          <w:sz w:val="22"/>
          <w:szCs w:val="22"/>
        </w:rPr>
        <w:t>.</w:t>
      </w:r>
    </w:p>
    <w:p w14:paraId="578909F0" w14:textId="6BD48124" w:rsidR="006B0BEF" w:rsidRPr="00826B86" w:rsidRDefault="006B0BEF" w:rsidP="00F8060C">
      <w:pPr>
        <w:widowControl w:val="0"/>
        <w:overflowPunct w:val="0"/>
        <w:adjustRightInd w:val="0"/>
        <w:ind w:right="421" w:firstLine="0"/>
        <w:jc w:val="left"/>
        <w:rPr>
          <w:b/>
          <w:i/>
          <w:sz w:val="22"/>
          <w:szCs w:val="22"/>
        </w:rPr>
      </w:pPr>
      <w:r w:rsidRPr="00826B86">
        <w:rPr>
          <w:b/>
          <w:i/>
          <w:sz w:val="22"/>
          <w:szCs w:val="22"/>
        </w:rPr>
        <w:t>P</w:t>
      </w:r>
      <w:r w:rsidR="00A948A6" w:rsidRPr="00826B86">
        <w:rPr>
          <w:b/>
          <w:i/>
          <w:sz w:val="22"/>
          <w:szCs w:val="22"/>
        </w:rPr>
        <w:t>rogress 20</w:t>
      </w:r>
      <w:r w:rsidR="00826B86" w:rsidRPr="00826B86">
        <w:rPr>
          <w:b/>
          <w:i/>
          <w:sz w:val="22"/>
          <w:szCs w:val="22"/>
        </w:rPr>
        <w:t>21</w:t>
      </w:r>
      <w:r w:rsidRPr="00826B86">
        <w:rPr>
          <w:b/>
          <w:i/>
          <w:sz w:val="22"/>
          <w:szCs w:val="22"/>
        </w:rPr>
        <w:t>/</w:t>
      </w:r>
      <w:r w:rsidR="00A948A6" w:rsidRPr="00826B86">
        <w:rPr>
          <w:b/>
          <w:i/>
          <w:sz w:val="22"/>
          <w:szCs w:val="22"/>
        </w:rPr>
        <w:t>2</w:t>
      </w:r>
      <w:r w:rsidR="00826B86" w:rsidRPr="00826B86">
        <w:rPr>
          <w:b/>
          <w:i/>
          <w:sz w:val="22"/>
          <w:szCs w:val="22"/>
        </w:rPr>
        <w:t>2</w:t>
      </w:r>
      <w:r w:rsidRPr="00826B86">
        <w:rPr>
          <w:b/>
          <w:i/>
          <w:sz w:val="22"/>
          <w:szCs w:val="22"/>
        </w:rPr>
        <w:t xml:space="preserve">: </w:t>
      </w:r>
    </w:p>
    <w:p w14:paraId="7A9B4271" w14:textId="3C701738" w:rsidR="00A948A6" w:rsidRPr="00CA432A" w:rsidRDefault="00632FF0" w:rsidP="0019692F">
      <w:pPr>
        <w:pStyle w:val="ListParagraph"/>
        <w:numPr>
          <w:ilvl w:val="0"/>
          <w:numId w:val="31"/>
        </w:numPr>
        <w:ind w:left="1134" w:right="421" w:hanging="414"/>
        <w:contextualSpacing w:val="0"/>
        <w:rPr>
          <w:sz w:val="22"/>
          <w:szCs w:val="22"/>
        </w:rPr>
      </w:pPr>
      <w:r w:rsidRPr="00CA432A">
        <w:rPr>
          <w:sz w:val="22"/>
          <w:szCs w:val="22"/>
        </w:rPr>
        <w:t>Shakespeare’s England to provide a recovery plan to support tourism and the local economy</w:t>
      </w:r>
      <w:r w:rsidR="00BA4EC8" w:rsidRPr="00CA432A">
        <w:rPr>
          <w:sz w:val="22"/>
          <w:szCs w:val="22"/>
        </w:rPr>
        <w:t>.</w:t>
      </w:r>
    </w:p>
    <w:p w14:paraId="2FE569CC" w14:textId="5EF74835" w:rsidR="00A948A6" w:rsidRPr="00CA432A" w:rsidRDefault="00A948A6" w:rsidP="0019692F">
      <w:pPr>
        <w:pStyle w:val="ListParagraph"/>
        <w:numPr>
          <w:ilvl w:val="0"/>
          <w:numId w:val="31"/>
        </w:numPr>
        <w:ind w:left="1134" w:right="421" w:hanging="414"/>
        <w:contextualSpacing w:val="0"/>
        <w:rPr>
          <w:sz w:val="22"/>
          <w:szCs w:val="22"/>
        </w:rPr>
      </w:pPr>
      <w:r w:rsidRPr="00CA432A">
        <w:rPr>
          <w:sz w:val="22"/>
          <w:szCs w:val="22"/>
        </w:rPr>
        <w:t xml:space="preserve">Town/Parish Council briefings held </w:t>
      </w:r>
      <w:r w:rsidR="00167171" w:rsidRPr="00CA432A">
        <w:rPr>
          <w:sz w:val="22"/>
          <w:szCs w:val="22"/>
        </w:rPr>
        <w:t xml:space="preserve">twice </w:t>
      </w:r>
      <w:r w:rsidR="0087589E" w:rsidRPr="00CA432A">
        <w:rPr>
          <w:sz w:val="22"/>
          <w:szCs w:val="22"/>
        </w:rPr>
        <w:t>a year.</w:t>
      </w:r>
    </w:p>
    <w:p w14:paraId="72593444" w14:textId="32725671" w:rsidR="00023A93" w:rsidRPr="00CA432A" w:rsidRDefault="00023A93" w:rsidP="0019692F">
      <w:pPr>
        <w:pStyle w:val="ListParagraph"/>
        <w:numPr>
          <w:ilvl w:val="0"/>
          <w:numId w:val="31"/>
        </w:numPr>
        <w:ind w:left="1134" w:right="421" w:hanging="414"/>
        <w:contextualSpacing w:val="0"/>
        <w:rPr>
          <w:sz w:val="22"/>
          <w:szCs w:val="22"/>
        </w:rPr>
      </w:pPr>
      <w:r w:rsidRPr="00CA432A">
        <w:rPr>
          <w:sz w:val="22"/>
          <w:szCs w:val="22"/>
        </w:rPr>
        <w:t xml:space="preserve">In line with the SUA Transport Strategy develop a Parking Strategy which supports the Climate Change Agenda. </w:t>
      </w:r>
      <w:r w:rsidR="00F24329" w:rsidRPr="00CA432A">
        <w:rPr>
          <w:sz w:val="22"/>
          <w:szCs w:val="22"/>
        </w:rPr>
        <w:t>This is still being unde</w:t>
      </w:r>
      <w:r w:rsidR="006E5E28" w:rsidRPr="00CA432A">
        <w:rPr>
          <w:sz w:val="22"/>
          <w:szCs w:val="22"/>
        </w:rPr>
        <w:t>rtaken.</w:t>
      </w:r>
    </w:p>
    <w:p w14:paraId="0B11F9EA" w14:textId="40273D86" w:rsidR="00A948A6" w:rsidRPr="00CA432A" w:rsidRDefault="00BA4EC8" w:rsidP="0019692F">
      <w:pPr>
        <w:pStyle w:val="ListParagraph"/>
        <w:numPr>
          <w:ilvl w:val="0"/>
          <w:numId w:val="31"/>
        </w:numPr>
        <w:ind w:left="1134" w:right="421" w:hanging="414"/>
        <w:contextualSpacing w:val="0"/>
        <w:rPr>
          <w:sz w:val="22"/>
          <w:szCs w:val="22"/>
        </w:rPr>
      </w:pPr>
      <w:r w:rsidRPr="00CA432A">
        <w:rPr>
          <w:sz w:val="22"/>
          <w:szCs w:val="22"/>
        </w:rPr>
        <w:t>Deliverables</w:t>
      </w:r>
      <w:r w:rsidR="00E9278A" w:rsidRPr="00CA432A">
        <w:rPr>
          <w:sz w:val="22"/>
          <w:szCs w:val="22"/>
        </w:rPr>
        <w:t xml:space="preserve"> agreed </w:t>
      </w:r>
      <w:r w:rsidR="00796F53" w:rsidRPr="00CA432A">
        <w:rPr>
          <w:sz w:val="22"/>
          <w:szCs w:val="22"/>
        </w:rPr>
        <w:t xml:space="preserve">that </w:t>
      </w:r>
      <w:r w:rsidRPr="00CA432A">
        <w:rPr>
          <w:sz w:val="22"/>
          <w:szCs w:val="22"/>
        </w:rPr>
        <w:t>relate</w:t>
      </w:r>
      <w:r w:rsidR="00796F53" w:rsidRPr="00CA432A">
        <w:rPr>
          <w:sz w:val="22"/>
          <w:szCs w:val="22"/>
        </w:rPr>
        <w:t xml:space="preserve"> to Stratford district in </w:t>
      </w:r>
      <w:r w:rsidRPr="00CA432A">
        <w:rPr>
          <w:sz w:val="22"/>
          <w:szCs w:val="22"/>
        </w:rPr>
        <w:t>relation to the Birmingham Commonwealth Games.</w:t>
      </w:r>
    </w:p>
    <w:p w14:paraId="64FDD411" w14:textId="1AD3E181" w:rsidR="006B0BEF" w:rsidRPr="0044011E" w:rsidRDefault="006527F0" w:rsidP="00F8060C">
      <w:pPr>
        <w:widowControl w:val="0"/>
        <w:overflowPunct w:val="0"/>
        <w:adjustRightInd w:val="0"/>
        <w:ind w:right="421" w:firstLine="0"/>
        <w:jc w:val="left"/>
        <w:rPr>
          <w:b/>
          <w:i/>
          <w:sz w:val="22"/>
          <w:szCs w:val="22"/>
        </w:rPr>
      </w:pPr>
      <w:r>
        <w:rPr>
          <w:b/>
          <w:i/>
          <w:sz w:val="22"/>
          <w:szCs w:val="22"/>
        </w:rPr>
        <w:t>Priority</w:t>
      </w:r>
      <w:r w:rsidR="006B0BEF" w:rsidRPr="0044011E">
        <w:rPr>
          <w:b/>
          <w:i/>
          <w:sz w:val="22"/>
          <w:szCs w:val="22"/>
        </w:rPr>
        <w:t xml:space="preserve"> 2 – </w:t>
      </w:r>
      <w:r w:rsidR="00A948A6" w:rsidRPr="0044011E">
        <w:rPr>
          <w:b/>
          <w:i/>
          <w:sz w:val="22"/>
          <w:szCs w:val="22"/>
        </w:rPr>
        <w:t>Enhancing the quality of Stratford-on-Avon as a place</w:t>
      </w:r>
    </w:p>
    <w:p w14:paraId="06AB0360" w14:textId="03642A41" w:rsidR="0072161E" w:rsidRPr="0044011E" w:rsidRDefault="00A948A6" w:rsidP="0019692F">
      <w:pPr>
        <w:widowControl w:val="0"/>
        <w:numPr>
          <w:ilvl w:val="0"/>
          <w:numId w:val="3"/>
        </w:numPr>
        <w:tabs>
          <w:tab w:val="clear" w:pos="1083"/>
          <w:tab w:val="num" w:pos="1276"/>
          <w:tab w:val="left" w:pos="2882"/>
          <w:tab w:val="left" w:pos="5490"/>
        </w:tabs>
        <w:overflowPunct w:val="0"/>
        <w:adjustRightInd w:val="0"/>
        <w:ind w:left="1134" w:right="421" w:hanging="414"/>
        <w:jc w:val="left"/>
        <w:rPr>
          <w:sz w:val="22"/>
          <w:szCs w:val="22"/>
        </w:rPr>
      </w:pPr>
      <w:r w:rsidRPr="0044011E">
        <w:rPr>
          <w:sz w:val="22"/>
          <w:szCs w:val="22"/>
        </w:rPr>
        <w:t>Promote, enhance and protect the cultural, heritage and natural assets of the district</w:t>
      </w:r>
      <w:r w:rsidR="00CA432A">
        <w:rPr>
          <w:sz w:val="22"/>
          <w:szCs w:val="22"/>
        </w:rPr>
        <w:t>.</w:t>
      </w:r>
    </w:p>
    <w:p w14:paraId="2A9B8DB1" w14:textId="59B34922" w:rsidR="00A948A6" w:rsidRPr="0044011E" w:rsidRDefault="00A948A6" w:rsidP="0019692F">
      <w:pPr>
        <w:widowControl w:val="0"/>
        <w:numPr>
          <w:ilvl w:val="0"/>
          <w:numId w:val="3"/>
        </w:numPr>
        <w:tabs>
          <w:tab w:val="clear" w:pos="1083"/>
          <w:tab w:val="num" w:pos="1276"/>
          <w:tab w:val="left" w:pos="2882"/>
          <w:tab w:val="left" w:pos="5490"/>
        </w:tabs>
        <w:overflowPunct w:val="0"/>
        <w:adjustRightInd w:val="0"/>
        <w:ind w:left="1134" w:right="421" w:hanging="414"/>
        <w:jc w:val="left"/>
        <w:rPr>
          <w:sz w:val="22"/>
          <w:szCs w:val="22"/>
        </w:rPr>
      </w:pPr>
      <w:r w:rsidRPr="0044011E">
        <w:rPr>
          <w:sz w:val="22"/>
          <w:szCs w:val="22"/>
        </w:rPr>
        <w:t>Improve the health and wellbeing of all residents</w:t>
      </w:r>
      <w:r w:rsidR="00CA432A">
        <w:rPr>
          <w:sz w:val="22"/>
          <w:szCs w:val="22"/>
        </w:rPr>
        <w:t>.</w:t>
      </w:r>
    </w:p>
    <w:p w14:paraId="15F608DD" w14:textId="34B5A6F4" w:rsidR="00A948A6" w:rsidRPr="0044011E" w:rsidRDefault="00A948A6" w:rsidP="0019692F">
      <w:pPr>
        <w:widowControl w:val="0"/>
        <w:numPr>
          <w:ilvl w:val="0"/>
          <w:numId w:val="3"/>
        </w:numPr>
        <w:tabs>
          <w:tab w:val="clear" w:pos="1083"/>
          <w:tab w:val="num" w:pos="1276"/>
          <w:tab w:val="left" w:pos="2882"/>
          <w:tab w:val="left" w:pos="5490"/>
        </w:tabs>
        <w:overflowPunct w:val="0"/>
        <w:adjustRightInd w:val="0"/>
        <w:ind w:left="1134" w:right="421" w:hanging="414"/>
        <w:jc w:val="left"/>
        <w:rPr>
          <w:sz w:val="22"/>
          <w:szCs w:val="22"/>
        </w:rPr>
      </w:pPr>
      <w:r w:rsidRPr="0044011E">
        <w:rPr>
          <w:sz w:val="22"/>
          <w:szCs w:val="22"/>
        </w:rPr>
        <w:t>Maintain the high level of community safety and address perceptions of crime</w:t>
      </w:r>
      <w:r w:rsidR="00CA432A">
        <w:rPr>
          <w:sz w:val="22"/>
          <w:szCs w:val="22"/>
        </w:rPr>
        <w:t>.</w:t>
      </w:r>
    </w:p>
    <w:p w14:paraId="36FCCEA6" w14:textId="37D29FFB" w:rsidR="00A948A6" w:rsidRPr="0044011E" w:rsidRDefault="00A948A6" w:rsidP="0019692F">
      <w:pPr>
        <w:widowControl w:val="0"/>
        <w:numPr>
          <w:ilvl w:val="0"/>
          <w:numId w:val="3"/>
        </w:numPr>
        <w:tabs>
          <w:tab w:val="clear" w:pos="1083"/>
          <w:tab w:val="num" w:pos="1276"/>
          <w:tab w:val="left" w:pos="2882"/>
          <w:tab w:val="left" w:pos="5490"/>
        </w:tabs>
        <w:overflowPunct w:val="0"/>
        <w:adjustRightInd w:val="0"/>
        <w:ind w:left="1134" w:right="421" w:hanging="414"/>
        <w:jc w:val="left"/>
        <w:rPr>
          <w:sz w:val="22"/>
          <w:szCs w:val="22"/>
        </w:rPr>
      </w:pPr>
      <w:r w:rsidRPr="0044011E">
        <w:rPr>
          <w:sz w:val="22"/>
          <w:szCs w:val="22"/>
        </w:rPr>
        <w:t>Strengthen the District’s reputation for high quality education, research and development</w:t>
      </w:r>
      <w:r w:rsidR="00CA432A">
        <w:rPr>
          <w:sz w:val="22"/>
          <w:szCs w:val="22"/>
        </w:rPr>
        <w:t>.</w:t>
      </w:r>
    </w:p>
    <w:p w14:paraId="0B49A8AA" w14:textId="265022A6" w:rsidR="00A948A6" w:rsidRPr="0044011E" w:rsidRDefault="00A948A6" w:rsidP="0019692F">
      <w:pPr>
        <w:widowControl w:val="0"/>
        <w:numPr>
          <w:ilvl w:val="0"/>
          <w:numId w:val="3"/>
        </w:numPr>
        <w:tabs>
          <w:tab w:val="clear" w:pos="1083"/>
          <w:tab w:val="num" w:pos="1276"/>
          <w:tab w:val="left" w:pos="2882"/>
          <w:tab w:val="left" w:pos="5490"/>
        </w:tabs>
        <w:overflowPunct w:val="0"/>
        <w:adjustRightInd w:val="0"/>
        <w:ind w:left="1134" w:right="421" w:hanging="414"/>
        <w:jc w:val="left"/>
        <w:rPr>
          <w:sz w:val="22"/>
          <w:szCs w:val="22"/>
        </w:rPr>
      </w:pPr>
      <w:r w:rsidRPr="0044011E">
        <w:rPr>
          <w:sz w:val="22"/>
          <w:szCs w:val="22"/>
        </w:rPr>
        <w:t>Increase the level and quality of broadband coverage</w:t>
      </w:r>
      <w:r w:rsidR="00CA432A">
        <w:rPr>
          <w:sz w:val="22"/>
          <w:szCs w:val="22"/>
        </w:rPr>
        <w:t>.</w:t>
      </w:r>
    </w:p>
    <w:p w14:paraId="69AD391D" w14:textId="338DA7FF" w:rsidR="006B0BEF" w:rsidRPr="00826B86" w:rsidRDefault="005E063D" w:rsidP="00F8060C">
      <w:pPr>
        <w:widowControl w:val="0"/>
        <w:tabs>
          <w:tab w:val="left" w:pos="2882"/>
          <w:tab w:val="left" w:pos="5490"/>
        </w:tabs>
        <w:overflowPunct w:val="0"/>
        <w:adjustRightInd w:val="0"/>
        <w:ind w:right="421" w:firstLine="0"/>
        <w:jc w:val="left"/>
        <w:rPr>
          <w:b/>
          <w:i/>
          <w:sz w:val="22"/>
          <w:szCs w:val="22"/>
        </w:rPr>
      </w:pPr>
      <w:r w:rsidRPr="00826B86">
        <w:rPr>
          <w:b/>
          <w:i/>
          <w:sz w:val="22"/>
          <w:szCs w:val="22"/>
        </w:rPr>
        <w:t>Progress 202</w:t>
      </w:r>
      <w:r w:rsidR="00826B86" w:rsidRPr="00826B86">
        <w:rPr>
          <w:b/>
          <w:i/>
          <w:sz w:val="22"/>
          <w:szCs w:val="22"/>
        </w:rPr>
        <w:t>1</w:t>
      </w:r>
      <w:r w:rsidRPr="00826B86">
        <w:rPr>
          <w:b/>
          <w:i/>
          <w:sz w:val="22"/>
          <w:szCs w:val="22"/>
        </w:rPr>
        <w:t>/2</w:t>
      </w:r>
      <w:r w:rsidR="00826B86" w:rsidRPr="00826B86">
        <w:rPr>
          <w:b/>
          <w:i/>
          <w:sz w:val="22"/>
          <w:szCs w:val="22"/>
        </w:rPr>
        <w:t>2</w:t>
      </w:r>
      <w:r w:rsidR="006B0BEF" w:rsidRPr="00826B86">
        <w:rPr>
          <w:b/>
          <w:i/>
          <w:sz w:val="22"/>
          <w:szCs w:val="22"/>
        </w:rPr>
        <w:t>:</w:t>
      </w:r>
    </w:p>
    <w:p w14:paraId="603EAC0A" w14:textId="54CE2502" w:rsidR="005F4E02" w:rsidRPr="00CA432A" w:rsidRDefault="005F4E02" w:rsidP="0019692F">
      <w:pPr>
        <w:pStyle w:val="ListParagraph"/>
        <w:numPr>
          <w:ilvl w:val="0"/>
          <w:numId w:val="32"/>
        </w:numPr>
        <w:ind w:left="1134" w:right="421" w:hanging="425"/>
        <w:contextualSpacing w:val="0"/>
        <w:rPr>
          <w:sz w:val="22"/>
          <w:szCs w:val="22"/>
        </w:rPr>
      </w:pPr>
      <w:r w:rsidRPr="00CA432A">
        <w:rPr>
          <w:sz w:val="22"/>
          <w:szCs w:val="22"/>
        </w:rPr>
        <w:t>Identify a clear strategy for the development of the Gateway Project.</w:t>
      </w:r>
      <w:r w:rsidR="004346AE" w:rsidRPr="00CA432A">
        <w:rPr>
          <w:sz w:val="22"/>
          <w:szCs w:val="22"/>
        </w:rPr>
        <w:t xml:space="preserve"> This remains ongoing following the unsuccessful </w:t>
      </w:r>
      <w:r w:rsidR="00F473C0" w:rsidRPr="00CA432A">
        <w:rPr>
          <w:sz w:val="22"/>
          <w:szCs w:val="22"/>
        </w:rPr>
        <w:t>Levelling</w:t>
      </w:r>
      <w:r w:rsidR="004346AE" w:rsidRPr="00CA432A">
        <w:rPr>
          <w:sz w:val="22"/>
          <w:szCs w:val="22"/>
        </w:rPr>
        <w:t xml:space="preserve"> Up bi</w:t>
      </w:r>
      <w:r w:rsidR="00F473C0" w:rsidRPr="00CA432A">
        <w:rPr>
          <w:sz w:val="22"/>
          <w:szCs w:val="22"/>
        </w:rPr>
        <w:t>d.</w:t>
      </w:r>
    </w:p>
    <w:p w14:paraId="67D570B2" w14:textId="77777777" w:rsidR="006F6551" w:rsidRPr="00CA432A" w:rsidRDefault="009A5FBE" w:rsidP="0019692F">
      <w:pPr>
        <w:pStyle w:val="ListParagraph"/>
        <w:numPr>
          <w:ilvl w:val="0"/>
          <w:numId w:val="32"/>
        </w:numPr>
        <w:ind w:left="1134" w:right="421" w:hanging="425"/>
        <w:contextualSpacing w:val="0"/>
        <w:rPr>
          <w:sz w:val="22"/>
          <w:szCs w:val="22"/>
        </w:rPr>
      </w:pPr>
      <w:r w:rsidRPr="00CA432A">
        <w:rPr>
          <w:sz w:val="22"/>
          <w:szCs w:val="22"/>
        </w:rPr>
        <w:t>Delivered the Active Communities Strategy.</w:t>
      </w:r>
      <w:r w:rsidR="006F6551" w:rsidRPr="00CA432A">
        <w:rPr>
          <w:sz w:val="22"/>
          <w:szCs w:val="22"/>
        </w:rPr>
        <w:t xml:space="preserve"> </w:t>
      </w:r>
    </w:p>
    <w:p w14:paraId="44245636" w14:textId="6B4DF233" w:rsidR="006F6551" w:rsidRPr="00CA432A" w:rsidRDefault="006F6551" w:rsidP="0019692F">
      <w:pPr>
        <w:pStyle w:val="ListParagraph"/>
        <w:numPr>
          <w:ilvl w:val="0"/>
          <w:numId w:val="32"/>
        </w:numPr>
        <w:ind w:left="1134" w:right="421" w:hanging="425"/>
        <w:contextualSpacing w:val="0"/>
        <w:rPr>
          <w:sz w:val="22"/>
          <w:szCs w:val="22"/>
        </w:rPr>
      </w:pPr>
      <w:r w:rsidRPr="00CA432A">
        <w:rPr>
          <w:sz w:val="22"/>
          <w:szCs w:val="22"/>
        </w:rPr>
        <w:t>Delivered our Health and Wellbeing Approach in conjunction with partners including the Coventry and Warwickshire Health and Care Partnership</w:t>
      </w:r>
      <w:r w:rsidR="00CA432A">
        <w:rPr>
          <w:sz w:val="22"/>
          <w:szCs w:val="22"/>
        </w:rPr>
        <w:t>.</w:t>
      </w:r>
    </w:p>
    <w:p w14:paraId="6BA7CF79" w14:textId="541FC386" w:rsidR="00EE3C18" w:rsidRPr="00CA432A" w:rsidRDefault="00EE3C18" w:rsidP="0019692F">
      <w:pPr>
        <w:pStyle w:val="ListParagraph"/>
        <w:numPr>
          <w:ilvl w:val="0"/>
          <w:numId w:val="32"/>
        </w:numPr>
        <w:ind w:left="1134" w:right="421" w:hanging="425"/>
        <w:contextualSpacing w:val="0"/>
        <w:rPr>
          <w:sz w:val="22"/>
          <w:szCs w:val="22"/>
        </w:rPr>
      </w:pPr>
      <w:r w:rsidRPr="00CA432A">
        <w:rPr>
          <w:sz w:val="22"/>
          <w:szCs w:val="22"/>
        </w:rPr>
        <w:t xml:space="preserve">Expansion, upgrade and modernisation of CCTV - </w:t>
      </w:r>
      <w:r w:rsidR="007F4784" w:rsidRPr="00CA432A">
        <w:rPr>
          <w:sz w:val="22"/>
          <w:szCs w:val="22"/>
        </w:rPr>
        <w:t>The project is complete except Malthouse Lane, Earlswood – where mains power was discovered by BT on excavation, necessitating alternative plans to be prepared.</w:t>
      </w:r>
    </w:p>
    <w:p w14:paraId="3C19CC51" w14:textId="43C31F18" w:rsidR="00C00023" w:rsidRPr="00CA432A" w:rsidRDefault="007A4907" w:rsidP="0019692F">
      <w:pPr>
        <w:pStyle w:val="ListParagraph"/>
        <w:numPr>
          <w:ilvl w:val="0"/>
          <w:numId w:val="32"/>
        </w:numPr>
        <w:ind w:left="1134" w:right="421" w:hanging="425"/>
        <w:contextualSpacing w:val="0"/>
        <w:rPr>
          <w:sz w:val="22"/>
          <w:szCs w:val="22"/>
        </w:rPr>
      </w:pPr>
      <w:r w:rsidRPr="00CA432A">
        <w:rPr>
          <w:sz w:val="22"/>
          <w:szCs w:val="22"/>
        </w:rPr>
        <w:t>Delivered the relevant actions within the Crime and Disorder Strategy.</w:t>
      </w:r>
    </w:p>
    <w:p w14:paraId="312FC7BA" w14:textId="5DECFBF3" w:rsidR="00CB645C" w:rsidRPr="007672F3" w:rsidRDefault="00E91B39" w:rsidP="007672F3">
      <w:pPr>
        <w:pStyle w:val="ListParagraph"/>
        <w:numPr>
          <w:ilvl w:val="0"/>
          <w:numId w:val="32"/>
        </w:numPr>
        <w:ind w:left="1134" w:right="421" w:hanging="425"/>
        <w:contextualSpacing w:val="0"/>
        <w:rPr>
          <w:sz w:val="22"/>
          <w:szCs w:val="22"/>
        </w:rPr>
      </w:pPr>
      <w:r w:rsidRPr="00CA432A">
        <w:rPr>
          <w:sz w:val="22"/>
          <w:szCs w:val="22"/>
        </w:rPr>
        <w:lastRenderedPageBreak/>
        <w:t>To support the ambitions for growth at the Wellesbourne Campus and Quinton Rail Technology Centre</w:t>
      </w:r>
      <w:r w:rsidR="00A36A37" w:rsidRPr="00CA432A">
        <w:rPr>
          <w:sz w:val="22"/>
          <w:szCs w:val="22"/>
        </w:rPr>
        <w:t xml:space="preserve"> - Discussions ongoing. Proposals (and timescales) being led by University of </w:t>
      </w:r>
      <w:r w:rsidR="004C4275" w:rsidRPr="00881EC8">
        <w:rPr>
          <w:sz w:val="22"/>
          <w:szCs w:val="22"/>
        </w:rPr>
        <w:t>Warwick</w:t>
      </w:r>
      <w:r w:rsidR="00A36A37" w:rsidRPr="00881EC8">
        <w:rPr>
          <w:sz w:val="22"/>
          <w:szCs w:val="22"/>
        </w:rPr>
        <w:t xml:space="preserve"> and </w:t>
      </w:r>
      <w:r w:rsidR="00A36A37" w:rsidRPr="00CA432A">
        <w:rPr>
          <w:sz w:val="22"/>
          <w:szCs w:val="22"/>
        </w:rPr>
        <w:t>Porterbook, respectively, but officers ready to assist as appropriate as ambitions are finalised</w:t>
      </w:r>
      <w:r w:rsidR="00CA432A">
        <w:rPr>
          <w:sz w:val="22"/>
          <w:szCs w:val="22"/>
        </w:rPr>
        <w:t>.</w:t>
      </w:r>
    </w:p>
    <w:p w14:paraId="63C2875B" w14:textId="59034E87" w:rsidR="003B6460" w:rsidRPr="00CA432A" w:rsidRDefault="00C51D28" w:rsidP="0019692F">
      <w:pPr>
        <w:pStyle w:val="ListParagraph"/>
        <w:numPr>
          <w:ilvl w:val="0"/>
          <w:numId w:val="32"/>
        </w:numPr>
        <w:ind w:left="1134" w:right="421" w:hanging="425"/>
        <w:contextualSpacing w:val="0"/>
        <w:rPr>
          <w:sz w:val="22"/>
          <w:szCs w:val="22"/>
        </w:rPr>
      </w:pPr>
      <w:r w:rsidRPr="00CA432A">
        <w:rPr>
          <w:sz w:val="22"/>
          <w:szCs w:val="22"/>
        </w:rPr>
        <w:t>Promotion of Community Fibre programme rollout – monthly meetings with BDUK/BT Openreach to monitor and encourage scheme take up across the District</w:t>
      </w:r>
      <w:r w:rsidR="003215B2" w:rsidRPr="00CA432A">
        <w:rPr>
          <w:sz w:val="22"/>
          <w:szCs w:val="22"/>
        </w:rPr>
        <w:t xml:space="preserve"> - Meetings with OpenReach continue and assistance provided to local parishes / groups who are trying to access the Gigabit Voucher Scheme</w:t>
      </w:r>
      <w:r w:rsidR="00CA432A">
        <w:rPr>
          <w:sz w:val="22"/>
          <w:szCs w:val="22"/>
        </w:rPr>
        <w:t>.</w:t>
      </w:r>
    </w:p>
    <w:p w14:paraId="5CD87A2D" w14:textId="1D0E2DCD" w:rsidR="006B0BEF" w:rsidRPr="006527F0" w:rsidRDefault="006527F0" w:rsidP="00F8060C">
      <w:pPr>
        <w:pStyle w:val="BodyTextIndent2"/>
        <w:numPr>
          <w:ilvl w:val="0"/>
          <w:numId w:val="0"/>
        </w:numPr>
        <w:snapToGrid w:val="0"/>
        <w:ind w:left="1134" w:right="421" w:hanging="425"/>
        <w:jc w:val="left"/>
        <w:rPr>
          <w:b/>
          <w:i/>
          <w:sz w:val="22"/>
          <w:szCs w:val="22"/>
        </w:rPr>
      </w:pPr>
      <w:r w:rsidRPr="006527F0">
        <w:rPr>
          <w:b/>
          <w:i/>
          <w:sz w:val="22"/>
          <w:szCs w:val="22"/>
        </w:rPr>
        <w:t>Priority</w:t>
      </w:r>
      <w:r w:rsidR="006B0BEF" w:rsidRPr="006527F0">
        <w:rPr>
          <w:b/>
          <w:i/>
          <w:sz w:val="22"/>
          <w:szCs w:val="22"/>
        </w:rPr>
        <w:t xml:space="preserve"> 3 – </w:t>
      </w:r>
      <w:r w:rsidR="008920BE" w:rsidRPr="006527F0">
        <w:rPr>
          <w:b/>
          <w:i/>
          <w:sz w:val="22"/>
          <w:szCs w:val="22"/>
        </w:rPr>
        <w:t>Nurturing a thriving, innovative and inclusive economy</w:t>
      </w:r>
    </w:p>
    <w:p w14:paraId="240D9110" w14:textId="77777777" w:rsidR="008920BE" w:rsidRPr="00CA432A" w:rsidRDefault="008920BE" w:rsidP="0019692F">
      <w:pPr>
        <w:pStyle w:val="ListParagraph"/>
        <w:widowControl w:val="0"/>
        <w:numPr>
          <w:ilvl w:val="0"/>
          <w:numId w:val="16"/>
        </w:numPr>
        <w:tabs>
          <w:tab w:val="left" w:pos="2882"/>
          <w:tab w:val="left" w:pos="5490"/>
        </w:tabs>
        <w:overflowPunct w:val="0"/>
        <w:adjustRightInd w:val="0"/>
        <w:ind w:left="1134" w:right="421" w:hanging="425"/>
        <w:contextualSpacing w:val="0"/>
        <w:jc w:val="left"/>
        <w:rPr>
          <w:b/>
          <w:i/>
          <w:sz w:val="22"/>
          <w:szCs w:val="22"/>
        </w:rPr>
      </w:pPr>
      <w:r w:rsidRPr="00CA432A">
        <w:rPr>
          <w:sz w:val="22"/>
          <w:szCs w:val="22"/>
        </w:rPr>
        <w:t>Obtain maximum benefit for the district from the implementation of the West Midlands Local Industrial Strategy</w:t>
      </w:r>
      <w:r w:rsidRPr="00CA432A">
        <w:rPr>
          <w:b/>
          <w:i/>
          <w:sz w:val="22"/>
          <w:szCs w:val="22"/>
        </w:rPr>
        <w:t xml:space="preserve"> </w:t>
      </w:r>
    </w:p>
    <w:p w14:paraId="13CED991" w14:textId="1BA483A4" w:rsidR="00435507" w:rsidRPr="00F8060C" w:rsidRDefault="00FA21B1" w:rsidP="0019692F">
      <w:pPr>
        <w:pStyle w:val="ListParagraph"/>
        <w:widowControl w:val="0"/>
        <w:numPr>
          <w:ilvl w:val="0"/>
          <w:numId w:val="16"/>
        </w:numPr>
        <w:tabs>
          <w:tab w:val="left" w:pos="2882"/>
          <w:tab w:val="left" w:pos="5490"/>
        </w:tabs>
        <w:overflowPunct w:val="0"/>
        <w:adjustRightInd w:val="0"/>
        <w:ind w:left="1134" w:right="421" w:hanging="425"/>
        <w:contextualSpacing w:val="0"/>
        <w:jc w:val="left"/>
        <w:rPr>
          <w:b/>
          <w:i/>
          <w:color w:val="FF0000"/>
          <w:sz w:val="22"/>
          <w:szCs w:val="22"/>
        </w:rPr>
      </w:pPr>
      <w:r w:rsidRPr="00CA432A">
        <w:rPr>
          <w:sz w:val="22"/>
          <w:szCs w:val="22"/>
        </w:rPr>
        <w:t>Enable the growth of businesses in key sectors, including automotive &amp; transport, agricultural technologies and medical sectors</w:t>
      </w:r>
    </w:p>
    <w:p w14:paraId="3F0793D6" w14:textId="693B2C69" w:rsidR="00A14664" w:rsidRPr="00F8060C" w:rsidRDefault="005E063D" w:rsidP="00F8060C">
      <w:pPr>
        <w:widowControl w:val="0"/>
        <w:tabs>
          <w:tab w:val="left" w:pos="2882"/>
          <w:tab w:val="left" w:pos="5490"/>
        </w:tabs>
        <w:overflowPunct w:val="0"/>
        <w:adjustRightInd w:val="0"/>
        <w:ind w:left="1134" w:right="421" w:hanging="425"/>
        <w:jc w:val="left"/>
        <w:rPr>
          <w:b/>
          <w:i/>
          <w:sz w:val="22"/>
          <w:szCs w:val="22"/>
        </w:rPr>
      </w:pPr>
      <w:r w:rsidRPr="00826B86">
        <w:rPr>
          <w:b/>
          <w:i/>
          <w:sz w:val="22"/>
          <w:szCs w:val="22"/>
        </w:rPr>
        <w:t>Progress 202</w:t>
      </w:r>
      <w:r w:rsidR="00826B86" w:rsidRPr="00826B86">
        <w:rPr>
          <w:b/>
          <w:i/>
          <w:sz w:val="22"/>
          <w:szCs w:val="22"/>
        </w:rPr>
        <w:t>1</w:t>
      </w:r>
      <w:r w:rsidRPr="00826B86">
        <w:rPr>
          <w:b/>
          <w:i/>
          <w:sz w:val="22"/>
          <w:szCs w:val="22"/>
        </w:rPr>
        <w:t>/2</w:t>
      </w:r>
      <w:r w:rsidR="00826B86" w:rsidRPr="00826B86">
        <w:rPr>
          <w:b/>
          <w:i/>
          <w:sz w:val="22"/>
          <w:szCs w:val="22"/>
        </w:rPr>
        <w:t>2</w:t>
      </w:r>
      <w:r w:rsidR="006B0BEF" w:rsidRPr="00826B86">
        <w:rPr>
          <w:b/>
          <w:i/>
          <w:sz w:val="22"/>
          <w:szCs w:val="22"/>
        </w:rPr>
        <w:t xml:space="preserve">: </w:t>
      </w:r>
    </w:p>
    <w:p w14:paraId="07E35A2A" w14:textId="77777777" w:rsidR="00644F6D" w:rsidRDefault="00644F6D" w:rsidP="00F8060C">
      <w:pPr>
        <w:pStyle w:val="ListParagraph"/>
        <w:keepNext/>
        <w:keepLines/>
        <w:numPr>
          <w:ilvl w:val="0"/>
          <w:numId w:val="15"/>
        </w:numPr>
        <w:ind w:left="1134" w:right="421" w:hanging="425"/>
        <w:contextualSpacing w:val="0"/>
        <w:rPr>
          <w:sz w:val="22"/>
          <w:szCs w:val="22"/>
        </w:rPr>
      </w:pPr>
      <w:r w:rsidRPr="00CB0D49">
        <w:rPr>
          <w:sz w:val="22"/>
          <w:szCs w:val="22"/>
        </w:rPr>
        <w:t>New South Warwickshire Economic Strategy being prepared. Stakeholder engagement in July 2021</w:t>
      </w:r>
      <w:r>
        <w:rPr>
          <w:sz w:val="22"/>
          <w:szCs w:val="22"/>
        </w:rPr>
        <w:t>.</w:t>
      </w:r>
    </w:p>
    <w:p w14:paraId="721620B8" w14:textId="77777777" w:rsidR="00644F6D" w:rsidRDefault="00644F6D" w:rsidP="00F8060C">
      <w:pPr>
        <w:pStyle w:val="ListParagraph"/>
        <w:keepNext/>
        <w:keepLines/>
        <w:numPr>
          <w:ilvl w:val="0"/>
          <w:numId w:val="15"/>
        </w:numPr>
        <w:ind w:left="1134" w:right="421" w:hanging="425"/>
        <w:contextualSpacing w:val="0"/>
        <w:rPr>
          <w:sz w:val="22"/>
          <w:szCs w:val="22"/>
        </w:rPr>
      </w:pPr>
      <w:r w:rsidRPr="00AC3728">
        <w:rPr>
          <w:sz w:val="22"/>
          <w:szCs w:val="22"/>
        </w:rPr>
        <w:t>Develop a support package to help businesses post COVID. £1million of Discretionary Business Rate funding set aside to help businesses diversify or grow post pandemic in conjunction with the Growth Hub - All funding spent – £1.2 million - positive press coverage 135 new jobs created and 703 jobs saved.</w:t>
      </w:r>
      <w:r>
        <w:rPr>
          <w:sz w:val="22"/>
          <w:szCs w:val="22"/>
        </w:rPr>
        <w:t xml:space="preserve"> </w:t>
      </w:r>
      <w:r w:rsidRPr="00AC3728">
        <w:rPr>
          <w:sz w:val="22"/>
          <w:szCs w:val="22"/>
        </w:rPr>
        <w:t>Businesses right across the district helped – Manufacturing / Engineering / Design and Hospitality</w:t>
      </w:r>
    </w:p>
    <w:p w14:paraId="634C3FAD" w14:textId="09F6C961" w:rsidR="00644F6D" w:rsidRPr="00F8060C" w:rsidRDefault="00644F6D" w:rsidP="00F8060C">
      <w:pPr>
        <w:pStyle w:val="ListParagraph"/>
        <w:keepNext/>
        <w:keepLines/>
        <w:numPr>
          <w:ilvl w:val="0"/>
          <w:numId w:val="15"/>
        </w:numPr>
        <w:ind w:left="1134" w:right="421" w:hanging="425"/>
        <w:contextualSpacing w:val="0"/>
        <w:rPr>
          <w:sz w:val="22"/>
          <w:szCs w:val="22"/>
        </w:rPr>
      </w:pPr>
      <w:r>
        <w:rPr>
          <w:sz w:val="22"/>
          <w:szCs w:val="22"/>
        </w:rPr>
        <w:t>Stratford Riverside Project – Overall design completed and work on site progressing</w:t>
      </w:r>
      <w:r w:rsidR="00F8060C">
        <w:rPr>
          <w:sz w:val="22"/>
          <w:szCs w:val="22"/>
        </w:rPr>
        <w:t>.</w:t>
      </w:r>
    </w:p>
    <w:p w14:paraId="7F33BD9D" w14:textId="77777777" w:rsidR="00644F6D" w:rsidRDefault="00644F6D" w:rsidP="00F8060C">
      <w:pPr>
        <w:pStyle w:val="ListParagraph"/>
        <w:keepNext/>
        <w:keepLines/>
        <w:numPr>
          <w:ilvl w:val="0"/>
          <w:numId w:val="15"/>
        </w:numPr>
        <w:ind w:left="1134" w:right="421" w:hanging="425"/>
        <w:contextualSpacing w:val="0"/>
        <w:rPr>
          <w:sz w:val="22"/>
          <w:szCs w:val="22"/>
        </w:rPr>
      </w:pPr>
      <w:r>
        <w:rPr>
          <w:sz w:val="22"/>
          <w:szCs w:val="22"/>
        </w:rPr>
        <w:t>SDC represented on the Town Centre Strategic Partnership.</w:t>
      </w:r>
    </w:p>
    <w:p w14:paraId="21A5166B" w14:textId="138275AA" w:rsidR="00644F6D" w:rsidRPr="00F8060C" w:rsidRDefault="00644F6D" w:rsidP="00F8060C">
      <w:pPr>
        <w:pStyle w:val="ListParagraph"/>
        <w:keepNext/>
        <w:keepLines/>
        <w:numPr>
          <w:ilvl w:val="0"/>
          <w:numId w:val="15"/>
        </w:numPr>
        <w:ind w:left="1134" w:right="421" w:hanging="425"/>
        <w:contextualSpacing w:val="0"/>
        <w:rPr>
          <w:sz w:val="22"/>
          <w:szCs w:val="22"/>
        </w:rPr>
      </w:pPr>
      <w:r w:rsidRPr="00D3071F">
        <w:rPr>
          <w:sz w:val="22"/>
          <w:szCs w:val="22"/>
        </w:rPr>
        <w:t>Develop a joint South Warwickshire Plan to co-ordinate events (markets, etc.) to support economic recovery</w:t>
      </w:r>
      <w:r>
        <w:rPr>
          <w:sz w:val="22"/>
          <w:szCs w:val="22"/>
        </w:rPr>
        <w:t xml:space="preserve"> – not achieved</w:t>
      </w:r>
    </w:p>
    <w:p w14:paraId="42AC0710" w14:textId="4C108811" w:rsidR="005E063D" w:rsidRPr="00E05B43" w:rsidRDefault="00644F6D" w:rsidP="00F8060C">
      <w:pPr>
        <w:widowControl w:val="0"/>
        <w:tabs>
          <w:tab w:val="left" w:pos="2882"/>
          <w:tab w:val="left" w:pos="5490"/>
        </w:tabs>
        <w:overflowPunct w:val="0"/>
        <w:adjustRightInd w:val="0"/>
        <w:ind w:left="709" w:right="421"/>
        <w:jc w:val="left"/>
        <w:rPr>
          <w:b/>
          <w:i/>
          <w:snapToGrid w:val="0"/>
          <w:sz w:val="22"/>
          <w:szCs w:val="22"/>
        </w:rPr>
      </w:pPr>
      <w:r>
        <w:rPr>
          <w:color w:val="FF0000"/>
          <w:sz w:val="22"/>
          <w:szCs w:val="22"/>
        </w:rPr>
        <w:tab/>
      </w:r>
      <w:r w:rsidR="00FA21B1" w:rsidRPr="00E05B43">
        <w:rPr>
          <w:b/>
          <w:i/>
          <w:snapToGrid w:val="0"/>
          <w:sz w:val="22"/>
          <w:szCs w:val="22"/>
        </w:rPr>
        <w:t>P</w:t>
      </w:r>
      <w:r w:rsidR="00E05B43" w:rsidRPr="00E05B43">
        <w:rPr>
          <w:b/>
          <w:i/>
          <w:snapToGrid w:val="0"/>
          <w:sz w:val="22"/>
          <w:szCs w:val="22"/>
        </w:rPr>
        <w:t>riority</w:t>
      </w:r>
      <w:r w:rsidR="005E063D" w:rsidRPr="00E05B43">
        <w:rPr>
          <w:b/>
          <w:i/>
          <w:snapToGrid w:val="0"/>
          <w:sz w:val="22"/>
          <w:szCs w:val="22"/>
        </w:rPr>
        <w:t xml:space="preserve"> 4 – Responding to the Climate Change Emergency</w:t>
      </w:r>
    </w:p>
    <w:p w14:paraId="65E31C48" w14:textId="2E4C65C9" w:rsidR="005E063D" w:rsidRPr="007257A8" w:rsidRDefault="005E063D" w:rsidP="0019692F">
      <w:pPr>
        <w:pStyle w:val="ListParagraph"/>
        <w:widowControl w:val="0"/>
        <w:numPr>
          <w:ilvl w:val="0"/>
          <w:numId w:val="16"/>
        </w:numPr>
        <w:tabs>
          <w:tab w:val="left" w:pos="2882"/>
          <w:tab w:val="left" w:pos="5490"/>
        </w:tabs>
        <w:overflowPunct w:val="0"/>
        <w:adjustRightInd w:val="0"/>
        <w:ind w:left="1134" w:right="421" w:hanging="425"/>
        <w:contextualSpacing w:val="0"/>
        <w:jc w:val="left"/>
        <w:rPr>
          <w:sz w:val="22"/>
          <w:szCs w:val="22"/>
        </w:rPr>
      </w:pPr>
      <w:r w:rsidRPr="007257A8">
        <w:rPr>
          <w:sz w:val="22"/>
          <w:szCs w:val="22"/>
        </w:rPr>
        <w:t>Take action to adapt to the impact of climate change</w:t>
      </w:r>
    </w:p>
    <w:p w14:paraId="3C9EF320" w14:textId="18543970" w:rsidR="005E063D" w:rsidRPr="00826B86" w:rsidRDefault="005E063D" w:rsidP="00F8060C">
      <w:pPr>
        <w:widowControl w:val="0"/>
        <w:tabs>
          <w:tab w:val="left" w:pos="2882"/>
          <w:tab w:val="left" w:pos="5490"/>
        </w:tabs>
        <w:overflowPunct w:val="0"/>
        <w:adjustRightInd w:val="0"/>
        <w:ind w:left="709" w:right="421" w:hanging="295"/>
        <w:jc w:val="left"/>
        <w:rPr>
          <w:b/>
          <w:i/>
          <w:sz w:val="22"/>
          <w:szCs w:val="22"/>
        </w:rPr>
      </w:pPr>
      <w:r w:rsidRPr="00826B86">
        <w:rPr>
          <w:sz w:val="22"/>
          <w:szCs w:val="22"/>
        </w:rPr>
        <w:tab/>
      </w:r>
      <w:r w:rsidRPr="00826B86">
        <w:rPr>
          <w:b/>
          <w:i/>
          <w:sz w:val="22"/>
          <w:szCs w:val="22"/>
        </w:rPr>
        <w:t>Progress 202</w:t>
      </w:r>
      <w:r w:rsidR="00826B86" w:rsidRPr="00826B86">
        <w:rPr>
          <w:b/>
          <w:i/>
          <w:sz w:val="22"/>
          <w:szCs w:val="22"/>
        </w:rPr>
        <w:t>1</w:t>
      </w:r>
      <w:r w:rsidRPr="00826B86">
        <w:rPr>
          <w:b/>
          <w:i/>
          <w:sz w:val="22"/>
          <w:szCs w:val="22"/>
        </w:rPr>
        <w:t>/2</w:t>
      </w:r>
      <w:r w:rsidR="00826B86" w:rsidRPr="00826B86">
        <w:rPr>
          <w:b/>
          <w:i/>
          <w:sz w:val="22"/>
          <w:szCs w:val="22"/>
        </w:rPr>
        <w:t>2</w:t>
      </w:r>
      <w:r w:rsidRPr="00826B86">
        <w:rPr>
          <w:b/>
          <w:i/>
          <w:sz w:val="22"/>
          <w:szCs w:val="22"/>
        </w:rPr>
        <w:t>:</w:t>
      </w:r>
    </w:p>
    <w:p w14:paraId="322944D4" w14:textId="1D3007B5" w:rsidR="00881EC8" w:rsidRPr="00F8060C" w:rsidRDefault="007A1956" w:rsidP="0019692F">
      <w:pPr>
        <w:pStyle w:val="ListParagraph"/>
        <w:widowControl w:val="0"/>
        <w:numPr>
          <w:ilvl w:val="0"/>
          <w:numId w:val="27"/>
        </w:numPr>
        <w:tabs>
          <w:tab w:val="left" w:pos="2882"/>
          <w:tab w:val="left" w:pos="5490"/>
        </w:tabs>
        <w:overflowPunct w:val="0"/>
        <w:adjustRightInd w:val="0"/>
        <w:ind w:left="1134" w:right="421" w:hanging="414"/>
        <w:contextualSpacing w:val="0"/>
        <w:jc w:val="left"/>
        <w:rPr>
          <w:b/>
          <w:i/>
          <w:color w:val="FF0000"/>
          <w:sz w:val="22"/>
          <w:szCs w:val="22"/>
        </w:rPr>
      </w:pPr>
      <w:r w:rsidRPr="007A1956">
        <w:rPr>
          <w:sz w:val="22"/>
          <w:szCs w:val="22"/>
        </w:rPr>
        <w:t xml:space="preserve">Climate Change Action Programme approved at Cabinet </w:t>
      </w:r>
      <w:r>
        <w:rPr>
          <w:sz w:val="22"/>
          <w:szCs w:val="22"/>
        </w:rPr>
        <w:t>in November 2021.</w:t>
      </w:r>
    </w:p>
    <w:p w14:paraId="6276CE8E" w14:textId="51DE1CA8" w:rsidR="005E063D" w:rsidRPr="00F8060C" w:rsidRDefault="0089258B" w:rsidP="00F8060C">
      <w:pPr>
        <w:pStyle w:val="ListParagraph"/>
        <w:ind w:left="1134" w:right="421" w:hanging="425"/>
        <w:contextualSpacing w:val="0"/>
        <w:jc w:val="left"/>
        <w:rPr>
          <w:b/>
          <w:i/>
          <w:sz w:val="22"/>
          <w:szCs w:val="22"/>
        </w:rPr>
      </w:pPr>
      <w:r w:rsidRPr="0089258B">
        <w:rPr>
          <w:b/>
          <w:i/>
          <w:sz w:val="22"/>
          <w:szCs w:val="22"/>
        </w:rPr>
        <w:t>Priority</w:t>
      </w:r>
      <w:r w:rsidR="005E063D" w:rsidRPr="0089258B">
        <w:rPr>
          <w:b/>
          <w:i/>
          <w:sz w:val="22"/>
          <w:szCs w:val="22"/>
        </w:rPr>
        <w:t xml:space="preserve"> 5 – Putting residents and communities centre stage</w:t>
      </w:r>
    </w:p>
    <w:p w14:paraId="08CF6A44" w14:textId="55E2CB85" w:rsidR="005E063D" w:rsidRPr="00DF7E5C" w:rsidRDefault="005E063D" w:rsidP="0019692F">
      <w:pPr>
        <w:pStyle w:val="ListParagraph"/>
        <w:numPr>
          <w:ilvl w:val="0"/>
          <w:numId w:val="17"/>
        </w:numPr>
        <w:ind w:left="1134" w:right="421" w:hanging="425"/>
        <w:contextualSpacing w:val="0"/>
        <w:jc w:val="left"/>
        <w:rPr>
          <w:sz w:val="22"/>
          <w:szCs w:val="22"/>
        </w:rPr>
      </w:pPr>
      <w:r w:rsidRPr="00DF7E5C">
        <w:rPr>
          <w:sz w:val="22"/>
          <w:szCs w:val="22"/>
        </w:rPr>
        <w:t>Ensure that residents are confident that the council will convene focussed and timely discussions on issue of concern to them</w:t>
      </w:r>
    </w:p>
    <w:p w14:paraId="78A69DC8" w14:textId="60522226" w:rsidR="005E063D" w:rsidRPr="00DF7E5C" w:rsidRDefault="005E063D" w:rsidP="0019692F">
      <w:pPr>
        <w:pStyle w:val="ListParagraph"/>
        <w:numPr>
          <w:ilvl w:val="0"/>
          <w:numId w:val="17"/>
        </w:numPr>
        <w:ind w:left="1134" w:right="421" w:hanging="425"/>
        <w:contextualSpacing w:val="0"/>
        <w:jc w:val="left"/>
        <w:rPr>
          <w:sz w:val="22"/>
          <w:szCs w:val="22"/>
        </w:rPr>
      </w:pPr>
      <w:r w:rsidRPr="00DF7E5C">
        <w:rPr>
          <w:sz w:val="22"/>
          <w:szCs w:val="22"/>
        </w:rPr>
        <w:t>Communicate actively with residents and respond quickly to customers</w:t>
      </w:r>
    </w:p>
    <w:p w14:paraId="49F4F501" w14:textId="40E62BB4" w:rsidR="005E063D" w:rsidRPr="00DF7E5C" w:rsidRDefault="005E063D" w:rsidP="0019692F">
      <w:pPr>
        <w:pStyle w:val="ListParagraph"/>
        <w:numPr>
          <w:ilvl w:val="0"/>
          <w:numId w:val="17"/>
        </w:numPr>
        <w:ind w:left="1134" w:right="421" w:hanging="425"/>
        <w:contextualSpacing w:val="0"/>
        <w:jc w:val="left"/>
        <w:rPr>
          <w:sz w:val="22"/>
          <w:szCs w:val="22"/>
        </w:rPr>
      </w:pPr>
      <w:r w:rsidRPr="00DF7E5C">
        <w:rPr>
          <w:sz w:val="22"/>
          <w:szCs w:val="22"/>
        </w:rPr>
        <w:t>Be on the front foot in our media and communications activities</w:t>
      </w:r>
    </w:p>
    <w:p w14:paraId="592760C5" w14:textId="7378875A" w:rsidR="005E063D" w:rsidRPr="00826B86" w:rsidRDefault="00A70302" w:rsidP="00F8060C">
      <w:pPr>
        <w:ind w:right="421" w:firstLine="0"/>
        <w:jc w:val="left"/>
        <w:rPr>
          <w:b/>
          <w:i/>
          <w:sz w:val="22"/>
          <w:szCs w:val="22"/>
        </w:rPr>
      </w:pPr>
      <w:r w:rsidRPr="00826B86">
        <w:rPr>
          <w:b/>
          <w:i/>
          <w:sz w:val="22"/>
          <w:szCs w:val="22"/>
        </w:rPr>
        <w:t xml:space="preserve"> </w:t>
      </w:r>
      <w:r w:rsidR="005E063D" w:rsidRPr="00826B86">
        <w:rPr>
          <w:b/>
          <w:i/>
          <w:sz w:val="22"/>
          <w:szCs w:val="22"/>
        </w:rPr>
        <w:t>Progress 202</w:t>
      </w:r>
      <w:r w:rsidR="00826B86" w:rsidRPr="00826B86">
        <w:rPr>
          <w:b/>
          <w:i/>
          <w:sz w:val="22"/>
          <w:szCs w:val="22"/>
        </w:rPr>
        <w:t>1</w:t>
      </w:r>
      <w:r w:rsidR="005E063D" w:rsidRPr="00826B86">
        <w:rPr>
          <w:b/>
          <w:i/>
          <w:sz w:val="22"/>
          <w:szCs w:val="22"/>
        </w:rPr>
        <w:t>/2</w:t>
      </w:r>
      <w:r w:rsidR="00826B86" w:rsidRPr="00826B86">
        <w:rPr>
          <w:b/>
          <w:i/>
          <w:sz w:val="22"/>
          <w:szCs w:val="22"/>
        </w:rPr>
        <w:t>2</w:t>
      </w:r>
      <w:r w:rsidR="005E063D" w:rsidRPr="00826B86">
        <w:rPr>
          <w:b/>
          <w:i/>
          <w:sz w:val="22"/>
          <w:szCs w:val="22"/>
        </w:rPr>
        <w:t>:</w:t>
      </w:r>
    </w:p>
    <w:p w14:paraId="129265EF" w14:textId="5D834097" w:rsidR="005E063D" w:rsidRDefault="005E063D" w:rsidP="0019692F">
      <w:pPr>
        <w:pStyle w:val="ListParagraph"/>
        <w:numPr>
          <w:ilvl w:val="0"/>
          <w:numId w:val="18"/>
        </w:numPr>
        <w:ind w:left="1134" w:right="421" w:hanging="425"/>
        <w:contextualSpacing w:val="0"/>
        <w:jc w:val="left"/>
        <w:rPr>
          <w:sz w:val="22"/>
          <w:szCs w:val="22"/>
        </w:rPr>
      </w:pPr>
      <w:r w:rsidRPr="00AE7785">
        <w:rPr>
          <w:sz w:val="22"/>
          <w:szCs w:val="22"/>
        </w:rPr>
        <w:t xml:space="preserve">Fred Winter Project </w:t>
      </w:r>
      <w:r w:rsidR="00AE7785" w:rsidRPr="00AE7785">
        <w:rPr>
          <w:sz w:val="22"/>
          <w:szCs w:val="22"/>
        </w:rPr>
        <w:t>not opened as at end on March 2022.</w:t>
      </w:r>
      <w:r w:rsidRPr="00AE7785">
        <w:rPr>
          <w:sz w:val="22"/>
          <w:szCs w:val="22"/>
        </w:rPr>
        <w:t xml:space="preserve"> </w:t>
      </w:r>
    </w:p>
    <w:p w14:paraId="0A3A84EA" w14:textId="69C25853" w:rsidR="00CB645C" w:rsidRPr="007672F3" w:rsidRDefault="00521677" w:rsidP="007672F3">
      <w:pPr>
        <w:pStyle w:val="ListParagraph"/>
        <w:numPr>
          <w:ilvl w:val="0"/>
          <w:numId w:val="18"/>
        </w:numPr>
        <w:ind w:left="1134" w:right="421" w:hanging="425"/>
        <w:contextualSpacing w:val="0"/>
        <w:jc w:val="left"/>
        <w:rPr>
          <w:sz w:val="22"/>
          <w:szCs w:val="22"/>
        </w:rPr>
      </w:pPr>
      <w:r w:rsidRPr="00521677">
        <w:rPr>
          <w:sz w:val="22"/>
          <w:szCs w:val="22"/>
        </w:rPr>
        <w:lastRenderedPageBreak/>
        <w:t>Public Open Space Policy</w:t>
      </w:r>
      <w:r w:rsidR="00C77898">
        <w:rPr>
          <w:sz w:val="22"/>
          <w:szCs w:val="22"/>
        </w:rPr>
        <w:t xml:space="preserve"> still being </w:t>
      </w:r>
      <w:r w:rsidR="00E14856">
        <w:rPr>
          <w:sz w:val="22"/>
          <w:szCs w:val="22"/>
        </w:rPr>
        <w:t>developed.</w:t>
      </w:r>
    </w:p>
    <w:p w14:paraId="633D4F0E" w14:textId="71A7C4BA" w:rsidR="00AE7785" w:rsidRDefault="00F569A8" w:rsidP="0019692F">
      <w:pPr>
        <w:pStyle w:val="ListParagraph"/>
        <w:numPr>
          <w:ilvl w:val="0"/>
          <w:numId w:val="18"/>
        </w:numPr>
        <w:ind w:left="1134" w:right="421" w:hanging="425"/>
        <w:contextualSpacing w:val="0"/>
        <w:jc w:val="left"/>
        <w:rPr>
          <w:sz w:val="22"/>
          <w:szCs w:val="22"/>
        </w:rPr>
      </w:pPr>
      <w:r w:rsidRPr="00F569A8">
        <w:rPr>
          <w:sz w:val="22"/>
          <w:szCs w:val="22"/>
        </w:rPr>
        <w:t xml:space="preserve">Hybrid Meetings </w:t>
      </w:r>
      <w:r>
        <w:rPr>
          <w:sz w:val="22"/>
          <w:szCs w:val="22"/>
        </w:rPr>
        <w:t xml:space="preserve">were </w:t>
      </w:r>
      <w:r w:rsidRPr="00F569A8">
        <w:rPr>
          <w:sz w:val="22"/>
          <w:szCs w:val="22"/>
        </w:rPr>
        <w:t>successfully operated by Stratford District Council.  Members of the public c</w:t>
      </w:r>
      <w:r>
        <w:rPr>
          <w:sz w:val="22"/>
          <w:szCs w:val="22"/>
        </w:rPr>
        <w:t>ould</w:t>
      </w:r>
      <w:r w:rsidRPr="00F569A8">
        <w:rPr>
          <w:sz w:val="22"/>
          <w:szCs w:val="22"/>
        </w:rPr>
        <w:t xml:space="preserve"> watch the live events using Microsoft Teams and whilst the camera views available </w:t>
      </w:r>
      <w:r>
        <w:rPr>
          <w:sz w:val="22"/>
          <w:szCs w:val="22"/>
        </w:rPr>
        <w:t>we</w:t>
      </w:r>
      <w:r w:rsidRPr="00F569A8">
        <w:rPr>
          <w:sz w:val="22"/>
          <w:szCs w:val="22"/>
        </w:rPr>
        <w:t>re limited, it still facilitate</w:t>
      </w:r>
      <w:r>
        <w:rPr>
          <w:sz w:val="22"/>
          <w:szCs w:val="22"/>
        </w:rPr>
        <w:t>d</w:t>
      </w:r>
      <w:r w:rsidRPr="00F569A8">
        <w:rPr>
          <w:sz w:val="22"/>
          <w:szCs w:val="22"/>
        </w:rPr>
        <w:t xml:space="preserve"> visibility of the room. Representatives c</w:t>
      </w:r>
      <w:r>
        <w:rPr>
          <w:sz w:val="22"/>
          <w:szCs w:val="22"/>
        </w:rPr>
        <w:t>ould</w:t>
      </w:r>
      <w:r w:rsidRPr="00F569A8">
        <w:rPr>
          <w:sz w:val="22"/>
          <w:szCs w:val="22"/>
        </w:rPr>
        <w:t xml:space="preserve"> also joint remotely via Teams if required.</w:t>
      </w:r>
    </w:p>
    <w:p w14:paraId="1FBD169E" w14:textId="0C73C369" w:rsidR="004C0DB0" w:rsidRDefault="00BB079D" w:rsidP="0019692F">
      <w:pPr>
        <w:pStyle w:val="ListParagraph"/>
        <w:numPr>
          <w:ilvl w:val="0"/>
          <w:numId w:val="18"/>
        </w:numPr>
        <w:ind w:left="1134" w:right="421" w:hanging="425"/>
        <w:contextualSpacing w:val="0"/>
        <w:jc w:val="left"/>
        <w:rPr>
          <w:sz w:val="22"/>
          <w:szCs w:val="22"/>
        </w:rPr>
      </w:pPr>
      <w:r w:rsidRPr="00BB079D">
        <w:rPr>
          <w:sz w:val="22"/>
          <w:szCs w:val="22"/>
        </w:rPr>
        <w:t>Complete the rollout of laptops and provide appropriate training for Members to facilitate on-line surgeries</w:t>
      </w:r>
      <w:r w:rsidR="000E3AE6">
        <w:rPr>
          <w:sz w:val="22"/>
          <w:szCs w:val="22"/>
        </w:rPr>
        <w:t xml:space="preserve"> – Members were issued with laptops with access to </w:t>
      </w:r>
      <w:r w:rsidR="00A50763">
        <w:rPr>
          <w:sz w:val="22"/>
          <w:szCs w:val="22"/>
        </w:rPr>
        <w:t>Teams in</w:t>
      </w:r>
      <w:r w:rsidR="000E3AE6">
        <w:rPr>
          <w:sz w:val="22"/>
          <w:szCs w:val="22"/>
        </w:rPr>
        <w:t xml:space="preserve"> order to hos</w:t>
      </w:r>
      <w:r w:rsidR="00804B23">
        <w:rPr>
          <w:sz w:val="22"/>
          <w:szCs w:val="22"/>
        </w:rPr>
        <w:t>t online surgeries.</w:t>
      </w:r>
    </w:p>
    <w:p w14:paraId="5584312D" w14:textId="6054D4E7" w:rsidR="00E41626" w:rsidRDefault="00E41626" w:rsidP="0019692F">
      <w:pPr>
        <w:pStyle w:val="ListParagraph"/>
        <w:numPr>
          <w:ilvl w:val="0"/>
          <w:numId w:val="18"/>
        </w:numPr>
        <w:ind w:left="1134" w:right="421" w:hanging="425"/>
        <w:contextualSpacing w:val="0"/>
        <w:jc w:val="left"/>
        <w:rPr>
          <w:sz w:val="22"/>
          <w:szCs w:val="22"/>
        </w:rPr>
      </w:pPr>
      <w:r w:rsidRPr="00E41626">
        <w:rPr>
          <w:sz w:val="22"/>
          <w:szCs w:val="22"/>
        </w:rPr>
        <w:t>Consider the inclusion of social media messaging platforms in Contact Centre operations for Customer Engagement.</w:t>
      </w:r>
      <w:r>
        <w:rPr>
          <w:sz w:val="22"/>
          <w:szCs w:val="22"/>
        </w:rPr>
        <w:t xml:space="preserve"> This </w:t>
      </w:r>
      <w:r w:rsidR="00B81578">
        <w:rPr>
          <w:sz w:val="22"/>
          <w:szCs w:val="22"/>
        </w:rPr>
        <w:t>target is behind schedule.</w:t>
      </w:r>
    </w:p>
    <w:p w14:paraId="10299198" w14:textId="0C42EA03" w:rsidR="00655F4E" w:rsidRPr="00AE7785" w:rsidRDefault="0076238A" w:rsidP="0019692F">
      <w:pPr>
        <w:pStyle w:val="ListParagraph"/>
        <w:numPr>
          <w:ilvl w:val="0"/>
          <w:numId w:val="18"/>
        </w:numPr>
        <w:ind w:left="1134" w:right="421" w:hanging="425"/>
        <w:contextualSpacing w:val="0"/>
        <w:jc w:val="left"/>
        <w:rPr>
          <w:sz w:val="22"/>
          <w:szCs w:val="22"/>
        </w:rPr>
      </w:pPr>
      <w:r w:rsidRPr="0076238A">
        <w:rPr>
          <w:sz w:val="22"/>
          <w:szCs w:val="22"/>
        </w:rPr>
        <w:t>Implement a new Media and PR Strategy in partnership with Warwick District Council</w:t>
      </w:r>
      <w:r>
        <w:rPr>
          <w:sz w:val="22"/>
          <w:szCs w:val="22"/>
        </w:rPr>
        <w:t xml:space="preserve"> – not achieved.</w:t>
      </w:r>
    </w:p>
    <w:p w14:paraId="3C19F3D6" w14:textId="3ED002D4" w:rsidR="005E063D" w:rsidRPr="00DF7E5C" w:rsidRDefault="00A70302" w:rsidP="00F8060C">
      <w:pPr>
        <w:ind w:left="1134" w:right="421" w:hanging="425"/>
        <w:jc w:val="left"/>
        <w:rPr>
          <w:b/>
          <w:i/>
          <w:sz w:val="22"/>
          <w:szCs w:val="22"/>
        </w:rPr>
      </w:pPr>
      <w:r w:rsidRPr="00DF7E5C">
        <w:rPr>
          <w:b/>
          <w:i/>
          <w:sz w:val="22"/>
          <w:szCs w:val="22"/>
        </w:rPr>
        <w:t xml:space="preserve"> </w:t>
      </w:r>
      <w:r w:rsidR="00DF7E5C" w:rsidRPr="00DF7E5C">
        <w:rPr>
          <w:b/>
          <w:i/>
          <w:sz w:val="22"/>
          <w:szCs w:val="22"/>
        </w:rPr>
        <w:t>Priority</w:t>
      </w:r>
      <w:r w:rsidR="005E063D" w:rsidRPr="00DF7E5C">
        <w:rPr>
          <w:b/>
          <w:i/>
          <w:sz w:val="22"/>
          <w:szCs w:val="22"/>
        </w:rPr>
        <w:t xml:space="preserve"> 6 – We will become a more agile and resilient council</w:t>
      </w:r>
    </w:p>
    <w:p w14:paraId="719848C1" w14:textId="3E20F718" w:rsidR="005E063D" w:rsidRPr="00DF7E5C" w:rsidRDefault="005E063D" w:rsidP="0019692F">
      <w:pPr>
        <w:pStyle w:val="ListParagraph"/>
        <w:numPr>
          <w:ilvl w:val="0"/>
          <w:numId w:val="18"/>
        </w:numPr>
        <w:ind w:left="1134" w:right="421" w:hanging="425"/>
        <w:contextualSpacing w:val="0"/>
        <w:jc w:val="left"/>
        <w:rPr>
          <w:sz w:val="22"/>
          <w:szCs w:val="22"/>
        </w:rPr>
      </w:pPr>
      <w:r w:rsidRPr="00DF7E5C">
        <w:rPr>
          <w:sz w:val="22"/>
          <w:szCs w:val="22"/>
        </w:rPr>
        <w:t>Create a working environment and culture which enables responsive and agile working</w:t>
      </w:r>
    </w:p>
    <w:p w14:paraId="16104475" w14:textId="77777777" w:rsidR="005E063D" w:rsidRPr="00DF7E5C" w:rsidRDefault="005E063D" w:rsidP="0019692F">
      <w:pPr>
        <w:pStyle w:val="ListParagraph"/>
        <w:numPr>
          <w:ilvl w:val="0"/>
          <w:numId w:val="18"/>
        </w:numPr>
        <w:ind w:left="1134" w:right="421" w:hanging="425"/>
        <w:contextualSpacing w:val="0"/>
        <w:jc w:val="left"/>
        <w:rPr>
          <w:sz w:val="22"/>
          <w:szCs w:val="22"/>
        </w:rPr>
      </w:pPr>
      <w:r w:rsidRPr="00DF7E5C">
        <w:rPr>
          <w:sz w:val="22"/>
          <w:szCs w:val="22"/>
        </w:rPr>
        <w:t xml:space="preserve">Be recognised as a champion of diversity and inclusion </w:t>
      </w:r>
    </w:p>
    <w:p w14:paraId="11B42AA4" w14:textId="36F1CCC4" w:rsidR="005E063D" w:rsidRPr="00DF7E5C" w:rsidRDefault="005E063D" w:rsidP="0019692F">
      <w:pPr>
        <w:pStyle w:val="ListParagraph"/>
        <w:numPr>
          <w:ilvl w:val="0"/>
          <w:numId w:val="18"/>
        </w:numPr>
        <w:ind w:left="1134" w:right="421" w:hanging="425"/>
        <w:contextualSpacing w:val="0"/>
        <w:jc w:val="left"/>
        <w:rPr>
          <w:sz w:val="22"/>
          <w:szCs w:val="22"/>
        </w:rPr>
      </w:pPr>
      <w:r w:rsidRPr="00DF7E5C">
        <w:rPr>
          <w:sz w:val="22"/>
          <w:szCs w:val="22"/>
        </w:rPr>
        <w:t>Provide a sustainable medium-term financial plan by 2023 and enable the council to be less dependent on central government financing</w:t>
      </w:r>
    </w:p>
    <w:p w14:paraId="03ACB911" w14:textId="018CF6C3" w:rsidR="005E063D" w:rsidRPr="00826B86" w:rsidRDefault="005E063D" w:rsidP="00F8060C">
      <w:pPr>
        <w:ind w:left="1134" w:right="421" w:hanging="283"/>
        <w:jc w:val="left"/>
        <w:rPr>
          <w:b/>
          <w:i/>
          <w:sz w:val="22"/>
          <w:szCs w:val="22"/>
        </w:rPr>
      </w:pPr>
      <w:r w:rsidRPr="00826B86">
        <w:rPr>
          <w:b/>
          <w:i/>
          <w:sz w:val="22"/>
          <w:szCs w:val="22"/>
        </w:rPr>
        <w:t>Progress 202</w:t>
      </w:r>
      <w:r w:rsidR="00826B86" w:rsidRPr="00826B86">
        <w:rPr>
          <w:b/>
          <w:i/>
          <w:sz w:val="22"/>
          <w:szCs w:val="22"/>
        </w:rPr>
        <w:t>1</w:t>
      </w:r>
      <w:r w:rsidRPr="00826B86">
        <w:rPr>
          <w:b/>
          <w:i/>
          <w:sz w:val="22"/>
          <w:szCs w:val="22"/>
        </w:rPr>
        <w:t>/2</w:t>
      </w:r>
      <w:r w:rsidR="00826B86" w:rsidRPr="00826B86">
        <w:rPr>
          <w:b/>
          <w:i/>
          <w:sz w:val="22"/>
          <w:szCs w:val="22"/>
        </w:rPr>
        <w:t>2</w:t>
      </w:r>
      <w:r w:rsidRPr="00826B86">
        <w:rPr>
          <w:b/>
          <w:i/>
          <w:sz w:val="22"/>
          <w:szCs w:val="22"/>
        </w:rPr>
        <w:t>:</w:t>
      </w:r>
    </w:p>
    <w:p w14:paraId="79B1F414" w14:textId="201804A9" w:rsidR="001E4D76" w:rsidRPr="00CA432A" w:rsidRDefault="007A3F31" w:rsidP="0019692F">
      <w:pPr>
        <w:pStyle w:val="ListParagraph"/>
        <w:numPr>
          <w:ilvl w:val="0"/>
          <w:numId w:val="18"/>
        </w:numPr>
        <w:ind w:left="1134" w:right="421" w:hanging="425"/>
        <w:contextualSpacing w:val="0"/>
        <w:jc w:val="left"/>
        <w:rPr>
          <w:color w:val="FF0000"/>
          <w:sz w:val="22"/>
          <w:szCs w:val="22"/>
        </w:rPr>
      </w:pPr>
      <w:r w:rsidRPr="00CA432A">
        <w:rPr>
          <w:sz w:val="22"/>
          <w:szCs w:val="22"/>
        </w:rPr>
        <w:t xml:space="preserve">Completed an inventory of ‘line-of-business’ applications across both organisations, to prioritise opportunities and address liabilities. </w:t>
      </w:r>
    </w:p>
    <w:p w14:paraId="49676FF2" w14:textId="0FECE353" w:rsidR="007A3F31" w:rsidRPr="00CA432A" w:rsidRDefault="006E0ED1" w:rsidP="0019692F">
      <w:pPr>
        <w:pStyle w:val="ListParagraph"/>
        <w:numPr>
          <w:ilvl w:val="0"/>
          <w:numId w:val="18"/>
        </w:numPr>
        <w:ind w:left="1134" w:right="421" w:hanging="425"/>
        <w:contextualSpacing w:val="0"/>
        <w:jc w:val="left"/>
        <w:rPr>
          <w:sz w:val="22"/>
          <w:szCs w:val="22"/>
        </w:rPr>
      </w:pPr>
      <w:r w:rsidRPr="00CA432A">
        <w:rPr>
          <w:sz w:val="22"/>
          <w:szCs w:val="22"/>
        </w:rPr>
        <w:t xml:space="preserve">Created and began </w:t>
      </w:r>
      <w:r w:rsidR="005E267B" w:rsidRPr="00CA432A">
        <w:rPr>
          <w:sz w:val="22"/>
          <w:szCs w:val="22"/>
        </w:rPr>
        <w:t xml:space="preserve">the </w:t>
      </w:r>
      <w:r w:rsidRPr="00CA432A">
        <w:rPr>
          <w:sz w:val="22"/>
          <w:szCs w:val="22"/>
        </w:rPr>
        <w:t>implementation of an integration plan for basic desktop services such as authentication, email and file services</w:t>
      </w:r>
    </w:p>
    <w:p w14:paraId="54DDEABD" w14:textId="09F1376F" w:rsidR="005E267B" w:rsidRPr="00CA432A" w:rsidRDefault="009C082E" w:rsidP="0019692F">
      <w:pPr>
        <w:pStyle w:val="ListParagraph"/>
        <w:numPr>
          <w:ilvl w:val="0"/>
          <w:numId w:val="18"/>
        </w:numPr>
        <w:ind w:left="1134" w:right="421" w:hanging="425"/>
        <w:contextualSpacing w:val="0"/>
        <w:jc w:val="left"/>
        <w:rPr>
          <w:sz w:val="22"/>
          <w:szCs w:val="22"/>
        </w:rPr>
      </w:pPr>
      <w:r w:rsidRPr="00CA432A">
        <w:rPr>
          <w:sz w:val="22"/>
          <w:szCs w:val="22"/>
        </w:rPr>
        <w:t>Completed the design of a Digital Service Change process that considers the design of service offerings from a digital perspective.</w:t>
      </w:r>
    </w:p>
    <w:p w14:paraId="3C87991C" w14:textId="5E0801D4" w:rsidR="009C082E" w:rsidRPr="00CA432A" w:rsidRDefault="00A362C6" w:rsidP="0019692F">
      <w:pPr>
        <w:pStyle w:val="ListParagraph"/>
        <w:numPr>
          <w:ilvl w:val="0"/>
          <w:numId w:val="18"/>
        </w:numPr>
        <w:ind w:left="1134" w:right="421" w:hanging="425"/>
        <w:contextualSpacing w:val="0"/>
        <w:jc w:val="left"/>
        <w:rPr>
          <w:sz w:val="22"/>
          <w:szCs w:val="22"/>
        </w:rPr>
      </w:pPr>
      <w:r w:rsidRPr="00CA432A">
        <w:rPr>
          <w:sz w:val="22"/>
          <w:szCs w:val="22"/>
        </w:rPr>
        <w:t>Developed a programme for implementation of merger with Warwick District Council.</w:t>
      </w:r>
    </w:p>
    <w:p w14:paraId="1997274C" w14:textId="3A908FE8" w:rsidR="00A362C6" w:rsidRPr="00CA432A" w:rsidRDefault="007654C9" w:rsidP="0019692F">
      <w:pPr>
        <w:pStyle w:val="ListParagraph"/>
        <w:numPr>
          <w:ilvl w:val="0"/>
          <w:numId w:val="18"/>
        </w:numPr>
        <w:ind w:left="1134" w:right="421" w:hanging="425"/>
        <w:contextualSpacing w:val="0"/>
        <w:jc w:val="left"/>
        <w:rPr>
          <w:sz w:val="22"/>
          <w:szCs w:val="22"/>
        </w:rPr>
      </w:pPr>
      <w:r w:rsidRPr="00CA432A">
        <w:rPr>
          <w:sz w:val="22"/>
          <w:szCs w:val="22"/>
        </w:rPr>
        <w:t>Developed a Workforce Strategy for working arrangements post COVID</w:t>
      </w:r>
    </w:p>
    <w:p w14:paraId="38C68C5D" w14:textId="1E7481C2" w:rsidR="007C7B6F" w:rsidRPr="00CA432A" w:rsidRDefault="00D230E3" w:rsidP="0019692F">
      <w:pPr>
        <w:pStyle w:val="ListParagraph"/>
        <w:numPr>
          <w:ilvl w:val="0"/>
          <w:numId w:val="18"/>
        </w:numPr>
        <w:ind w:left="1134" w:right="421" w:hanging="425"/>
        <w:contextualSpacing w:val="0"/>
        <w:jc w:val="left"/>
        <w:rPr>
          <w:sz w:val="22"/>
          <w:szCs w:val="22"/>
        </w:rPr>
      </w:pPr>
      <w:r w:rsidRPr="00CA432A">
        <w:rPr>
          <w:sz w:val="22"/>
          <w:szCs w:val="22"/>
        </w:rPr>
        <w:t>Respect Network to identify action plan achieved.</w:t>
      </w:r>
    </w:p>
    <w:p w14:paraId="57D3C200" w14:textId="59AECE47" w:rsidR="00D230E3" w:rsidRPr="00CA432A" w:rsidRDefault="00F36803" w:rsidP="0019692F">
      <w:pPr>
        <w:pStyle w:val="ListParagraph"/>
        <w:numPr>
          <w:ilvl w:val="0"/>
          <w:numId w:val="18"/>
        </w:numPr>
        <w:ind w:left="1134" w:right="421" w:hanging="425"/>
        <w:contextualSpacing w:val="0"/>
        <w:jc w:val="left"/>
        <w:rPr>
          <w:sz w:val="22"/>
          <w:szCs w:val="22"/>
        </w:rPr>
      </w:pPr>
      <w:r w:rsidRPr="00CA432A">
        <w:rPr>
          <w:sz w:val="22"/>
          <w:szCs w:val="22"/>
        </w:rPr>
        <w:t>Carry out an inclusion audit including exploration of potential external accreditation – not achieved</w:t>
      </w:r>
    </w:p>
    <w:p w14:paraId="1794EE62" w14:textId="12B73974" w:rsidR="00C2234D" w:rsidRPr="00CA432A" w:rsidRDefault="0050397C" w:rsidP="0019692F">
      <w:pPr>
        <w:pStyle w:val="ListParagraph"/>
        <w:numPr>
          <w:ilvl w:val="0"/>
          <w:numId w:val="18"/>
        </w:numPr>
        <w:ind w:left="1134" w:right="421" w:hanging="425"/>
        <w:contextualSpacing w:val="0"/>
        <w:jc w:val="left"/>
        <w:rPr>
          <w:sz w:val="22"/>
          <w:szCs w:val="22"/>
        </w:rPr>
      </w:pPr>
      <w:r w:rsidRPr="00CA432A">
        <w:rPr>
          <w:sz w:val="22"/>
          <w:szCs w:val="22"/>
        </w:rPr>
        <w:t>Prepared a sustainable Medium Term Financial Strategy.</w:t>
      </w:r>
    </w:p>
    <w:p w14:paraId="7D6F6C98" w14:textId="4C659EF9" w:rsidR="00DA5689" w:rsidRPr="00E6520A" w:rsidRDefault="000F5310" w:rsidP="00F8060C">
      <w:pPr>
        <w:ind w:right="421"/>
        <w:jc w:val="left"/>
        <w:rPr>
          <w:b/>
          <w:smallCaps/>
          <w:sz w:val="22"/>
          <w:szCs w:val="22"/>
        </w:rPr>
      </w:pPr>
      <w:r w:rsidRPr="00E6520A">
        <w:rPr>
          <w:b/>
          <w:sz w:val="22"/>
          <w:szCs w:val="22"/>
        </w:rPr>
        <w:t>1</w:t>
      </w:r>
      <w:r w:rsidR="00CA432A">
        <w:rPr>
          <w:b/>
          <w:sz w:val="22"/>
          <w:szCs w:val="22"/>
        </w:rPr>
        <w:t>4</w:t>
      </w:r>
      <w:r w:rsidR="00DA5689" w:rsidRPr="00E6520A">
        <w:rPr>
          <w:b/>
          <w:sz w:val="22"/>
          <w:szCs w:val="22"/>
        </w:rPr>
        <w:tab/>
        <w:t>Options available to Council</w:t>
      </w:r>
    </w:p>
    <w:p w14:paraId="687ECE5E" w14:textId="71909A1C" w:rsidR="00100859" w:rsidRDefault="000F5310" w:rsidP="00F8060C">
      <w:pPr>
        <w:ind w:left="709" w:right="421" w:hanging="709"/>
        <w:jc w:val="left"/>
        <w:rPr>
          <w:sz w:val="22"/>
          <w:szCs w:val="22"/>
        </w:rPr>
      </w:pPr>
      <w:r w:rsidRPr="00E6520A">
        <w:rPr>
          <w:sz w:val="22"/>
          <w:szCs w:val="22"/>
        </w:rPr>
        <w:t>1</w:t>
      </w:r>
      <w:r w:rsidR="00CA432A">
        <w:rPr>
          <w:sz w:val="22"/>
          <w:szCs w:val="22"/>
        </w:rPr>
        <w:t>4</w:t>
      </w:r>
      <w:r w:rsidRPr="00E6520A">
        <w:rPr>
          <w:sz w:val="22"/>
          <w:szCs w:val="22"/>
        </w:rPr>
        <w:t>.1</w:t>
      </w:r>
      <w:r w:rsidRPr="00E6520A">
        <w:rPr>
          <w:sz w:val="22"/>
          <w:szCs w:val="22"/>
        </w:rPr>
        <w:tab/>
      </w:r>
      <w:r w:rsidR="00DA5689" w:rsidRPr="00E6520A">
        <w:rPr>
          <w:sz w:val="22"/>
          <w:szCs w:val="22"/>
        </w:rPr>
        <w:t>None</w:t>
      </w:r>
      <w:r w:rsidR="00657EFF" w:rsidRPr="00E6520A">
        <w:rPr>
          <w:sz w:val="22"/>
          <w:szCs w:val="22"/>
        </w:rPr>
        <w:t>.</w:t>
      </w:r>
    </w:p>
    <w:p w14:paraId="53751457" w14:textId="07AB184D" w:rsidR="00F8060C" w:rsidRDefault="00F8060C" w:rsidP="00F8060C">
      <w:pPr>
        <w:ind w:left="709" w:right="421" w:hanging="709"/>
        <w:jc w:val="left"/>
        <w:rPr>
          <w:sz w:val="22"/>
          <w:szCs w:val="22"/>
        </w:rPr>
      </w:pPr>
      <w:r>
        <w:rPr>
          <w:b/>
          <w:bCs/>
          <w:sz w:val="22"/>
          <w:szCs w:val="22"/>
        </w:rPr>
        <w:t>15</w:t>
      </w:r>
      <w:r>
        <w:rPr>
          <w:b/>
          <w:bCs/>
          <w:sz w:val="22"/>
          <w:szCs w:val="22"/>
        </w:rPr>
        <w:tab/>
        <w:t>Evidence Base</w:t>
      </w:r>
    </w:p>
    <w:p w14:paraId="7BA53E35" w14:textId="578C2A4B" w:rsidR="00F8060C" w:rsidRDefault="00F8060C" w:rsidP="00F8060C">
      <w:pPr>
        <w:pStyle w:val="BodyText"/>
        <w:numPr>
          <w:ilvl w:val="0"/>
          <w:numId w:val="0"/>
        </w:numPr>
        <w:ind w:left="720" w:hanging="720"/>
        <w:jc w:val="left"/>
        <w:rPr>
          <w:rFonts w:eastAsiaTheme="minorHAnsi" w:cstheme="minorBidi"/>
          <w:color w:val="000000" w:themeColor="text1"/>
          <w:sz w:val="22"/>
          <w:szCs w:val="22"/>
        </w:rPr>
      </w:pPr>
      <w:r>
        <w:rPr>
          <w:sz w:val="22"/>
          <w:szCs w:val="22"/>
        </w:rPr>
        <w:t>15.1</w:t>
      </w:r>
      <w:r>
        <w:rPr>
          <w:sz w:val="22"/>
          <w:szCs w:val="22"/>
        </w:rPr>
        <w:tab/>
      </w:r>
      <w:r w:rsidR="007E5E7F">
        <w:rPr>
          <w:rFonts w:eastAsiaTheme="minorHAnsi" w:cstheme="minorBidi"/>
          <w:color w:val="000000" w:themeColor="text1"/>
          <w:sz w:val="22"/>
          <w:szCs w:val="22"/>
        </w:rPr>
        <w:t>All the evidence is contained within the report.</w:t>
      </w:r>
      <w:r w:rsidRPr="00CE0DB2">
        <w:rPr>
          <w:rFonts w:eastAsiaTheme="minorHAnsi" w:cstheme="minorBidi"/>
          <w:color w:val="000000" w:themeColor="text1"/>
          <w:sz w:val="22"/>
          <w:szCs w:val="22"/>
        </w:rPr>
        <w:t> </w:t>
      </w:r>
    </w:p>
    <w:p w14:paraId="63BFDAAA" w14:textId="397DE007" w:rsidR="00D979C4" w:rsidRPr="00E136EE" w:rsidRDefault="00F8060C" w:rsidP="00F8060C">
      <w:pPr>
        <w:ind w:left="709" w:right="421" w:hanging="709"/>
        <w:jc w:val="left"/>
        <w:rPr>
          <w:b/>
          <w:smallCaps/>
          <w:sz w:val="22"/>
          <w:szCs w:val="22"/>
        </w:rPr>
      </w:pPr>
      <w:r>
        <w:rPr>
          <w:b/>
          <w:sz w:val="22"/>
          <w:szCs w:val="22"/>
        </w:rPr>
        <w:t>16</w:t>
      </w:r>
      <w:r w:rsidR="000F5310" w:rsidRPr="00E136EE">
        <w:rPr>
          <w:b/>
          <w:sz w:val="22"/>
          <w:szCs w:val="22"/>
        </w:rPr>
        <w:t xml:space="preserve">     </w:t>
      </w:r>
      <w:r w:rsidR="00DA5689" w:rsidRPr="00E136EE">
        <w:rPr>
          <w:b/>
          <w:sz w:val="22"/>
          <w:szCs w:val="22"/>
        </w:rPr>
        <w:t>Consultation and Members</w:t>
      </w:r>
      <w:r w:rsidR="007E5E7F">
        <w:rPr>
          <w:b/>
          <w:sz w:val="22"/>
          <w:szCs w:val="22"/>
        </w:rPr>
        <w:t>’</w:t>
      </w:r>
      <w:r w:rsidR="00DA5689" w:rsidRPr="00E136EE">
        <w:rPr>
          <w:b/>
          <w:sz w:val="22"/>
          <w:szCs w:val="22"/>
        </w:rPr>
        <w:t xml:space="preserve"> Comments</w:t>
      </w:r>
    </w:p>
    <w:p w14:paraId="5234A8E3" w14:textId="067F17F0" w:rsidR="007714EB" w:rsidRPr="00E136EE" w:rsidRDefault="000F5310" w:rsidP="00F8060C">
      <w:pPr>
        <w:ind w:right="421"/>
        <w:jc w:val="left"/>
        <w:rPr>
          <w:sz w:val="22"/>
          <w:szCs w:val="22"/>
        </w:rPr>
      </w:pPr>
      <w:r w:rsidRPr="00E136EE">
        <w:rPr>
          <w:sz w:val="22"/>
          <w:szCs w:val="22"/>
        </w:rPr>
        <w:t>1</w:t>
      </w:r>
      <w:r w:rsidR="00F8060C">
        <w:rPr>
          <w:sz w:val="22"/>
          <w:szCs w:val="22"/>
        </w:rPr>
        <w:t>6</w:t>
      </w:r>
      <w:r w:rsidRPr="00E136EE">
        <w:rPr>
          <w:sz w:val="22"/>
          <w:szCs w:val="22"/>
        </w:rPr>
        <w:t>.1</w:t>
      </w:r>
      <w:r w:rsidRPr="00E136EE">
        <w:rPr>
          <w:sz w:val="22"/>
          <w:szCs w:val="22"/>
        </w:rPr>
        <w:tab/>
      </w:r>
      <w:r w:rsidR="00DA5689" w:rsidRPr="00E136EE">
        <w:rPr>
          <w:sz w:val="22"/>
          <w:szCs w:val="22"/>
        </w:rPr>
        <w:t>Comments from the Leader of the Council are contained within this report.</w:t>
      </w:r>
    </w:p>
    <w:p w14:paraId="5415EF17" w14:textId="4AC028D8" w:rsidR="000F5310" w:rsidRPr="00E136EE" w:rsidRDefault="000F5310" w:rsidP="00F8060C">
      <w:pPr>
        <w:ind w:left="709" w:right="421" w:hanging="709"/>
        <w:jc w:val="left"/>
        <w:rPr>
          <w:b/>
          <w:sz w:val="22"/>
          <w:szCs w:val="22"/>
        </w:rPr>
      </w:pPr>
      <w:r w:rsidRPr="00E136EE">
        <w:rPr>
          <w:b/>
          <w:sz w:val="22"/>
          <w:szCs w:val="22"/>
        </w:rPr>
        <w:lastRenderedPageBreak/>
        <w:t>1</w:t>
      </w:r>
      <w:r w:rsidR="00F8060C">
        <w:rPr>
          <w:b/>
          <w:sz w:val="22"/>
          <w:szCs w:val="22"/>
        </w:rPr>
        <w:t>7</w:t>
      </w:r>
      <w:r w:rsidRPr="00E136EE">
        <w:rPr>
          <w:b/>
          <w:sz w:val="22"/>
          <w:szCs w:val="22"/>
        </w:rPr>
        <w:tab/>
        <w:t>Implications of the Proposal</w:t>
      </w:r>
    </w:p>
    <w:p w14:paraId="68822E67" w14:textId="711E48F1" w:rsidR="000F5310" w:rsidRPr="00E136EE" w:rsidRDefault="001A2440" w:rsidP="00F8060C">
      <w:pPr>
        <w:ind w:left="709" w:right="421" w:hanging="709"/>
        <w:jc w:val="left"/>
        <w:rPr>
          <w:b/>
          <w:sz w:val="22"/>
          <w:szCs w:val="22"/>
        </w:rPr>
      </w:pPr>
      <w:r w:rsidRPr="007E5E7F">
        <w:rPr>
          <w:bCs/>
          <w:sz w:val="22"/>
          <w:szCs w:val="22"/>
        </w:rPr>
        <w:t>1</w:t>
      </w:r>
      <w:r w:rsidR="00F8060C" w:rsidRPr="007E5E7F">
        <w:rPr>
          <w:bCs/>
          <w:sz w:val="22"/>
          <w:szCs w:val="22"/>
        </w:rPr>
        <w:t>7</w:t>
      </w:r>
      <w:r w:rsidRPr="007E5E7F">
        <w:rPr>
          <w:bCs/>
          <w:sz w:val="22"/>
          <w:szCs w:val="22"/>
        </w:rPr>
        <w:t>.1</w:t>
      </w:r>
      <w:r w:rsidRPr="00E136EE">
        <w:rPr>
          <w:b/>
          <w:sz w:val="22"/>
          <w:szCs w:val="22"/>
        </w:rPr>
        <w:t xml:space="preserve">  </w:t>
      </w:r>
      <w:r w:rsidR="007F3CBA">
        <w:rPr>
          <w:b/>
          <w:sz w:val="22"/>
          <w:szCs w:val="22"/>
        </w:rPr>
        <w:t xml:space="preserve"> </w:t>
      </w:r>
      <w:r w:rsidR="000F5310" w:rsidRPr="007E5E7F">
        <w:rPr>
          <w:b/>
          <w:i/>
          <w:iCs/>
          <w:sz w:val="22"/>
          <w:szCs w:val="22"/>
        </w:rPr>
        <w:t>Legal/Human Rights Implications</w:t>
      </w:r>
    </w:p>
    <w:p w14:paraId="653B1895" w14:textId="220AF45F" w:rsidR="00100859" w:rsidRPr="00E136EE" w:rsidRDefault="00FA4196" w:rsidP="00F8060C">
      <w:pPr>
        <w:ind w:left="709" w:right="421" w:hanging="709"/>
        <w:jc w:val="left"/>
        <w:rPr>
          <w:sz w:val="22"/>
          <w:szCs w:val="22"/>
        </w:rPr>
      </w:pPr>
      <w:r w:rsidRPr="00E136EE">
        <w:rPr>
          <w:sz w:val="22"/>
          <w:szCs w:val="22"/>
        </w:rPr>
        <w:t>1</w:t>
      </w:r>
      <w:r w:rsidR="00F8060C">
        <w:rPr>
          <w:sz w:val="22"/>
          <w:szCs w:val="22"/>
        </w:rPr>
        <w:t>7</w:t>
      </w:r>
      <w:r w:rsidRPr="00E136EE">
        <w:rPr>
          <w:sz w:val="22"/>
          <w:szCs w:val="22"/>
        </w:rPr>
        <w:t>.1.1</w:t>
      </w:r>
      <w:r w:rsidR="00505A8F" w:rsidRPr="00E136EE">
        <w:rPr>
          <w:sz w:val="22"/>
          <w:szCs w:val="22"/>
        </w:rPr>
        <w:t>There are no direct implications arising from this report.</w:t>
      </w:r>
    </w:p>
    <w:p w14:paraId="272AECF0" w14:textId="35D6ABB1" w:rsidR="00100859" w:rsidRPr="00E136EE" w:rsidRDefault="001A2440" w:rsidP="00F8060C">
      <w:pPr>
        <w:ind w:right="421"/>
        <w:jc w:val="left"/>
        <w:rPr>
          <w:b/>
          <w:bCs/>
          <w:sz w:val="22"/>
          <w:szCs w:val="22"/>
        </w:rPr>
      </w:pPr>
      <w:r w:rsidRPr="007E5E7F">
        <w:rPr>
          <w:sz w:val="22"/>
          <w:szCs w:val="22"/>
        </w:rPr>
        <w:t>1</w:t>
      </w:r>
      <w:r w:rsidR="00CA432A" w:rsidRPr="007E5E7F">
        <w:rPr>
          <w:sz w:val="22"/>
          <w:szCs w:val="22"/>
        </w:rPr>
        <w:t>7</w:t>
      </w:r>
      <w:r w:rsidRPr="007E5E7F">
        <w:rPr>
          <w:sz w:val="22"/>
          <w:szCs w:val="22"/>
        </w:rPr>
        <w:t>.</w:t>
      </w:r>
      <w:r w:rsidR="00F8060C" w:rsidRPr="007E5E7F">
        <w:rPr>
          <w:sz w:val="22"/>
          <w:szCs w:val="22"/>
        </w:rPr>
        <w:t>2</w:t>
      </w:r>
      <w:r w:rsidR="00E55171">
        <w:rPr>
          <w:b/>
          <w:bCs/>
          <w:i/>
          <w:sz w:val="22"/>
          <w:szCs w:val="22"/>
        </w:rPr>
        <w:tab/>
      </w:r>
      <w:r w:rsidR="00100859" w:rsidRPr="007E5E7F">
        <w:rPr>
          <w:b/>
          <w:bCs/>
          <w:i/>
          <w:iCs/>
          <w:sz w:val="22"/>
          <w:szCs w:val="22"/>
        </w:rPr>
        <w:t>Financial</w:t>
      </w:r>
    </w:p>
    <w:p w14:paraId="34D080BD" w14:textId="2CEF0F10" w:rsidR="007714EB" w:rsidRPr="00E136EE" w:rsidRDefault="00FA4196" w:rsidP="00F8060C">
      <w:pPr>
        <w:ind w:right="421"/>
        <w:jc w:val="left"/>
        <w:rPr>
          <w:sz w:val="22"/>
          <w:szCs w:val="22"/>
        </w:rPr>
      </w:pPr>
      <w:r w:rsidRPr="00E136EE">
        <w:rPr>
          <w:sz w:val="22"/>
          <w:szCs w:val="22"/>
        </w:rPr>
        <w:t>1</w:t>
      </w:r>
      <w:r w:rsidR="00CA432A">
        <w:rPr>
          <w:sz w:val="22"/>
          <w:szCs w:val="22"/>
        </w:rPr>
        <w:t>7</w:t>
      </w:r>
      <w:r w:rsidRPr="00E136EE">
        <w:rPr>
          <w:sz w:val="22"/>
          <w:szCs w:val="22"/>
        </w:rPr>
        <w:t>.</w:t>
      </w:r>
      <w:r w:rsidR="00F8060C">
        <w:rPr>
          <w:sz w:val="22"/>
          <w:szCs w:val="22"/>
        </w:rPr>
        <w:t>2.</w:t>
      </w:r>
      <w:r w:rsidR="00E55171">
        <w:rPr>
          <w:sz w:val="22"/>
          <w:szCs w:val="22"/>
        </w:rPr>
        <w:t>1</w:t>
      </w:r>
      <w:r w:rsidR="00E55171">
        <w:rPr>
          <w:sz w:val="22"/>
          <w:szCs w:val="22"/>
        </w:rPr>
        <w:tab/>
      </w:r>
      <w:r w:rsidR="003A0746" w:rsidRPr="00E136EE">
        <w:rPr>
          <w:sz w:val="22"/>
          <w:szCs w:val="22"/>
        </w:rPr>
        <w:t>There are no direct implications arising from this report.</w:t>
      </w:r>
    </w:p>
    <w:p w14:paraId="3DE7AC6D" w14:textId="41752503" w:rsidR="00100859" w:rsidRPr="00E136EE" w:rsidRDefault="001A2440" w:rsidP="00F8060C">
      <w:pPr>
        <w:ind w:right="421"/>
        <w:jc w:val="left"/>
        <w:rPr>
          <w:sz w:val="22"/>
          <w:szCs w:val="22"/>
        </w:rPr>
      </w:pPr>
      <w:r w:rsidRPr="007E5E7F">
        <w:rPr>
          <w:sz w:val="22"/>
          <w:szCs w:val="22"/>
        </w:rPr>
        <w:t>1</w:t>
      </w:r>
      <w:r w:rsidR="00F8060C" w:rsidRPr="007E5E7F">
        <w:rPr>
          <w:sz w:val="22"/>
          <w:szCs w:val="22"/>
        </w:rPr>
        <w:t>7.3</w:t>
      </w:r>
      <w:r w:rsidR="00E55171">
        <w:rPr>
          <w:b/>
          <w:bCs/>
          <w:sz w:val="22"/>
          <w:szCs w:val="22"/>
        </w:rPr>
        <w:tab/>
      </w:r>
      <w:r w:rsidR="00DA5689" w:rsidRPr="007E5E7F">
        <w:rPr>
          <w:b/>
          <w:bCs/>
          <w:i/>
          <w:iCs/>
          <w:sz w:val="22"/>
          <w:szCs w:val="22"/>
        </w:rPr>
        <w:t>Council Plan</w:t>
      </w:r>
    </w:p>
    <w:p w14:paraId="7BCE9C4C" w14:textId="63A8FB20" w:rsidR="003A0746" w:rsidRPr="00E136EE" w:rsidRDefault="00FA4196" w:rsidP="00F8060C">
      <w:pPr>
        <w:ind w:right="421"/>
        <w:jc w:val="left"/>
        <w:rPr>
          <w:sz w:val="22"/>
          <w:szCs w:val="22"/>
        </w:rPr>
      </w:pPr>
      <w:r w:rsidRPr="00E136EE">
        <w:rPr>
          <w:sz w:val="22"/>
          <w:szCs w:val="22"/>
        </w:rPr>
        <w:t>1</w:t>
      </w:r>
      <w:r w:rsidR="00F8060C">
        <w:rPr>
          <w:sz w:val="22"/>
          <w:szCs w:val="22"/>
        </w:rPr>
        <w:t>7</w:t>
      </w:r>
      <w:r w:rsidRPr="00E136EE">
        <w:rPr>
          <w:sz w:val="22"/>
          <w:szCs w:val="22"/>
        </w:rPr>
        <w:t>.</w:t>
      </w:r>
      <w:r w:rsidR="00E55171">
        <w:rPr>
          <w:sz w:val="22"/>
          <w:szCs w:val="22"/>
        </w:rPr>
        <w:t>3.1</w:t>
      </w:r>
      <w:r w:rsidR="00DA5689" w:rsidRPr="00E136EE">
        <w:rPr>
          <w:sz w:val="22"/>
          <w:szCs w:val="22"/>
        </w:rPr>
        <w:t>There are no direct implications arising from this report.</w:t>
      </w:r>
    </w:p>
    <w:p w14:paraId="56A1EBF2" w14:textId="5E1CD7B1" w:rsidR="00DA5689" w:rsidRPr="007E5E7F" w:rsidRDefault="001A2440" w:rsidP="00F8060C">
      <w:pPr>
        <w:ind w:right="421"/>
        <w:jc w:val="left"/>
        <w:rPr>
          <w:i/>
          <w:iCs/>
          <w:sz w:val="22"/>
          <w:szCs w:val="22"/>
        </w:rPr>
      </w:pPr>
      <w:r w:rsidRPr="007E5E7F">
        <w:rPr>
          <w:sz w:val="22"/>
          <w:szCs w:val="22"/>
        </w:rPr>
        <w:t>1</w:t>
      </w:r>
      <w:r w:rsidR="00E55171" w:rsidRPr="007E5E7F">
        <w:rPr>
          <w:sz w:val="22"/>
          <w:szCs w:val="22"/>
        </w:rPr>
        <w:t>7.4</w:t>
      </w:r>
      <w:r w:rsidR="00E55171">
        <w:rPr>
          <w:b/>
          <w:bCs/>
          <w:i/>
          <w:sz w:val="22"/>
          <w:szCs w:val="22"/>
        </w:rPr>
        <w:tab/>
      </w:r>
      <w:r w:rsidR="00DA5689" w:rsidRPr="007E5E7F">
        <w:rPr>
          <w:b/>
          <w:bCs/>
          <w:i/>
          <w:iCs/>
          <w:sz w:val="22"/>
          <w:szCs w:val="22"/>
        </w:rPr>
        <w:t>Environmental/Climate Change Implications</w:t>
      </w:r>
    </w:p>
    <w:p w14:paraId="34AB49E6" w14:textId="1FE544AA" w:rsidR="003A0746" w:rsidRPr="00E136EE" w:rsidRDefault="00FA4196" w:rsidP="00F8060C">
      <w:pPr>
        <w:ind w:right="421"/>
        <w:jc w:val="left"/>
        <w:rPr>
          <w:sz w:val="22"/>
          <w:szCs w:val="22"/>
        </w:rPr>
      </w:pPr>
      <w:r w:rsidRPr="00E136EE">
        <w:rPr>
          <w:sz w:val="22"/>
          <w:szCs w:val="22"/>
        </w:rPr>
        <w:t>1</w:t>
      </w:r>
      <w:r w:rsidR="00E55171">
        <w:rPr>
          <w:sz w:val="22"/>
          <w:szCs w:val="22"/>
        </w:rPr>
        <w:t>7.4.1</w:t>
      </w:r>
      <w:r w:rsidR="00E55171">
        <w:rPr>
          <w:sz w:val="22"/>
          <w:szCs w:val="22"/>
        </w:rPr>
        <w:tab/>
      </w:r>
      <w:r w:rsidR="00DA5689" w:rsidRPr="00E136EE">
        <w:rPr>
          <w:sz w:val="22"/>
          <w:szCs w:val="22"/>
        </w:rPr>
        <w:t>There are no environmental or climate change implications arising from this report.</w:t>
      </w:r>
    </w:p>
    <w:p w14:paraId="2A3ECBD5" w14:textId="7E0BA063" w:rsidR="00C57C53" w:rsidRPr="00E136EE" w:rsidRDefault="00E55171" w:rsidP="00F8060C">
      <w:pPr>
        <w:pStyle w:val="BodyText"/>
        <w:numPr>
          <w:ilvl w:val="0"/>
          <w:numId w:val="0"/>
        </w:numPr>
        <w:ind w:left="720" w:right="421" w:hanging="720"/>
        <w:jc w:val="left"/>
        <w:rPr>
          <w:b/>
          <w:sz w:val="22"/>
          <w:szCs w:val="22"/>
        </w:rPr>
      </w:pPr>
      <w:r w:rsidRPr="007E5E7F">
        <w:rPr>
          <w:bCs/>
          <w:sz w:val="22"/>
          <w:szCs w:val="22"/>
        </w:rPr>
        <w:t>17.5</w:t>
      </w:r>
      <w:r>
        <w:rPr>
          <w:b/>
          <w:sz w:val="22"/>
          <w:szCs w:val="22"/>
        </w:rPr>
        <w:tab/>
      </w:r>
      <w:r w:rsidR="00C71CE6" w:rsidRPr="007E5E7F">
        <w:rPr>
          <w:b/>
          <w:i/>
          <w:iCs/>
          <w:sz w:val="22"/>
          <w:szCs w:val="22"/>
        </w:rPr>
        <w:t>Analysis of the effects on Equality</w:t>
      </w:r>
    </w:p>
    <w:p w14:paraId="461E6499" w14:textId="6F0D572D" w:rsidR="003A0746" w:rsidRPr="00E136EE" w:rsidRDefault="00E55171" w:rsidP="00F8060C">
      <w:pPr>
        <w:pStyle w:val="BodyTextIndent2"/>
        <w:numPr>
          <w:ilvl w:val="0"/>
          <w:numId w:val="0"/>
        </w:numPr>
        <w:ind w:left="720" w:right="421" w:hanging="720"/>
        <w:jc w:val="left"/>
        <w:rPr>
          <w:sz w:val="22"/>
          <w:szCs w:val="22"/>
        </w:rPr>
      </w:pPr>
      <w:r>
        <w:rPr>
          <w:snapToGrid/>
          <w:sz w:val="22"/>
          <w:szCs w:val="22"/>
        </w:rPr>
        <w:t>17.5.1</w:t>
      </w:r>
      <w:r>
        <w:rPr>
          <w:snapToGrid/>
          <w:sz w:val="22"/>
          <w:szCs w:val="22"/>
        </w:rPr>
        <w:tab/>
      </w:r>
      <w:r w:rsidR="003A0746" w:rsidRPr="00E136EE">
        <w:rPr>
          <w:snapToGrid/>
          <w:sz w:val="22"/>
          <w:szCs w:val="22"/>
        </w:rPr>
        <w:t>There are no direct implications arising from this report.</w:t>
      </w:r>
    </w:p>
    <w:p w14:paraId="17062098" w14:textId="71E56013" w:rsidR="006906A8" w:rsidRPr="00E136EE" w:rsidRDefault="00E55171" w:rsidP="00F8060C">
      <w:pPr>
        <w:pStyle w:val="BodyTextIndent2"/>
        <w:numPr>
          <w:ilvl w:val="0"/>
          <w:numId w:val="0"/>
        </w:numPr>
        <w:ind w:left="720" w:right="421" w:hanging="720"/>
        <w:jc w:val="left"/>
        <w:rPr>
          <w:b/>
          <w:sz w:val="22"/>
          <w:szCs w:val="22"/>
        </w:rPr>
      </w:pPr>
      <w:r w:rsidRPr="007E5E7F">
        <w:rPr>
          <w:bCs/>
          <w:sz w:val="22"/>
          <w:szCs w:val="22"/>
        </w:rPr>
        <w:t>17.6</w:t>
      </w:r>
      <w:r>
        <w:rPr>
          <w:b/>
          <w:sz w:val="22"/>
          <w:szCs w:val="22"/>
        </w:rPr>
        <w:tab/>
      </w:r>
      <w:r w:rsidR="006906A8" w:rsidRPr="007E5E7F">
        <w:rPr>
          <w:b/>
          <w:i/>
          <w:iCs/>
          <w:sz w:val="22"/>
          <w:szCs w:val="22"/>
        </w:rPr>
        <w:t>Data Protection</w:t>
      </w:r>
    </w:p>
    <w:p w14:paraId="611D26FB" w14:textId="517FAD2B" w:rsidR="006906A8" w:rsidRPr="00E136EE" w:rsidRDefault="00E55171" w:rsidP="00F8060C">
      <w:pPr>
        <w:pStyle w:val="BodyTextIndent2"/>
        <w:numPr>
          <w:ilvl w:val="0"/>
          <w:numId w:val="0"/>
        </w:numPr>
        <w:ind w:left="720" w:right="421" w:hanging="720"/>
        <w:jc w:val="left"/>
        <w:rPr>
          <w:sz w:val="22"/>
          <w:szCs w:val="22"/>
        </w:rPr>
      </w:pPr>
      <w:r>
        <w:rPr>
          <w:sz w:val="22"/>
          <w:szCs w:val="22"/>
        </w:rPr>
        <w:t>17.6.1</w:t>
      </w:r>
      <w:r>
        <w:rPr>
          <w:sz w:val="22"/>
          <w:szCs w:val="22"/>
        </w:rPr>
        <w:tab/>
      </w:r>
      <w:r w:rsidR="006906A8" w:rsidRPr="00E136EE">
        <w:rPr>
          <w:sz w:val="22"/>
          <w:szCs w:val="22"/>
        </w:rPr>
        <w:t>There are no direct implications arising from this report.</w:t>
      </w:r>
    </w:p>
    <w:p w14:paraId="256C3332" w14:textId="00C459A8" w:rsidR="00DA5689" w:rsidRPr="00E136EE" w:rsidRDefault="00E55171" w:rsidP="00F8060C">
      <w:pPr>
        <w:pStyle w:val="BodyTextIndent2"/>
        <w:numPr>
          <w:ilvl w:val="0"/>
          <w:numId w:val="0"/>
        </w:numPr>
        <w:ind w:left="720" w:right="421" w:hanging="720"/>
        <w:jc w:val="left"/>
        <w:rPr>
          <w:b/>
          <w:sz w:val="22"/>
          <w:szCs w:val="22"/>
        </w:rPr>
      </w:pPr>
      <w:r w:rsidRPr="007E5E7F">
        <w:rPr>
          <w:bCs/>
          <w:sz w:val="22"/>
          <w:szCs w:val="22"/>
        </w:rPr>
        <w:t>17.7</w:t>
      </w:r>
      <w:r>
        <w:rPr>
          <w:b/>
          <w:sz w:val="22"/>
          <w:szCs w:val="22"/>
        </w:rPr>
        <w:tab/>
      </w:r>
      <w:r w:rsidR="00DA5689" w:rsidRPr="007E5E7F">
        <w:rPr>
          <w:b/>
          <w:i/>
          <w:iCs/>
          <w:sz w:val="22"/>
          <w:szCs w:val="22"/>
        </w:rPr>
        <w:t>Health and Wellbeing</w:t>
      </w:r>
    </w:p>
    <w:p w14:paraId="42F4C5D4" w14:textId="5466F9A0" w:rsidR="00DA5689" w:rsidRPr="00E136EE" w:rsidRDefault="00E55171" w:rsidP="00F8060C">
      <w:pPr>
        <w:pStyle w:val="BodyTextIndent2"/>
        <w:numPr>
          <w:ilvl w:val="0"/>
          <w:numId w:val="0"/>
        </w:numPr>
        <w:ind w:left="720" w:right="421" w:hanging="720"/>
        <w:jc w:val="left"/>
        <w:rPr>
          <w:sz w:val="22"/>
          <w:szCs w:val="22"/>
        </w:rPr>
      </w:pPr>
      <w:r>
        <w:rPr>
          <w:sz w:val="22"/>
          <w:szCs w:val="22"/>
        </w:rPr>
        <w:t>17.7.1</w:t>
      </w:r>
      <w:r>
        <w:rPr>
          <w:sz w:val="22"/>
          <w:szCs w:val="22"/>
        </w:rPr>
        <w:tab/>
      </w:r>
      <w:r w:rsidR="00DA5689" w:rsidRPr="00E136EE">
        <w:rPr>
          <w:sz w:val="22"/>
          <w:szCs w:val="22"/>
        </w:rPr>
        <w:t>There are no direct implications arising from this report.</w:t>
      </w:r>
    </w:p>
    <w:p w14:paraId="366D5B21" w14:textId="7ABAD2BB" w:rsidR="00100859" w:rsidRPr="00E136EE" w:rsidRDefault="00E55171" w:rsidP="00F8060C">
      <w:pPr>
        <w:pStyle w:val="Heading2"/>
        <w:numPr>
          <w:ilvl w:val="0"/>
          <w:numId w:val="0"/>
        </w:numPr>
        <w:spacing w:before="0"/>
        <w:ind w:left="720" w:right="421" w:hanging="720"/>
        <w:jc w:val="left"/>
        <w:rPr>
          <w:smallCaps w:val="0"/>
          <w:sz w:val="22"/>
          <w:szCs w:val="22"/>
        </w:rPr>
      </w:pPr>
      <w:r>
        <w:rPr>
          <w:smallCaps w:val="0"/>
          <w:sz w:val="22"/>
          <w:szCs w:val="22"/>
        </w:rPr>
        <w:t>18</w:t>
      </w:r>
      <w:r>
        <w:rPr>
          <w:smallCaps w:val="0"/>
          <w:sz w:val="22"/>
          <w:szCs w:val="22"/>
        </w:rPr>
        <w:tab/>
      </w:r>
      <w:r w:rsidR="00A621F4" w:rsidRPr="00E136EE">
        <w:rPr>
          <w:smallCaps w:val="0"/>
          <w:sz w:val="22"/>
          <w:szCs w:val="22"/>
        </w:rPr>
        <w:t>Risk A</w:t>
      </w:r>
      <w:r w:rsidR="00100859" w:rsidRPr="00E136EE">
        <w:rPr>
          <w:smallCaps w:val="0"/>
          <w:sz w:val="22"/>
          <w:szCs w:val="22"/>
        </w:rPr>
        <w:t>ssessment</w:t>
      </w:r>
    </w:p>
    <w:p w14:paraId="1C4DC2B4" w14:textId="39560349" w:rsidR="00100859" w:rsidRPr="00E136EE" w:rsidRDefault="00E55171" w:rsidP="00F8060C">
      <w:pPr>
        <w:pStyle w:val="BodyText"/>
        <w:numPr>
          <w:ilvl w:val="0"/>
          <w:numId w:val="0"/>
        </w:numPr>
        <w:ind w:left="720" w:right="421" w:hanging="720"/>
        <w:jc w:val="left"/>
        <w:rPr>
          <w:sz w:val="22"/>
          <w:szCs w:val="22"/>
        </w:rPr>
      </w:pPr>
      <w:r>
        <w:rPr>
          <w:sz w:val="22"/>
          <w:szCs w:val="22"/>
        </w:rPr>
        <w:t>18.1</w:t>
      </w:r>
      <w:r>
        <w:rPr>
          <w:sz w:val="22"/>
          <w:szCs w:val="22"/>
        </w:rPr>
        <w:tab/>
      </w:r>
      <w:r w:rsidR="003E7B55" w:rsidRPr="00E136EE">
        <w:rPr>
          <w:sz w:val="22"/>
          <w:szCs w:val="22"/>
        </w:rPr>
        <w:t xml:space="preserve">The evidence provided in this report, either through insight or public opinion, must be taken into account in </w:t>
      </w:r>
      <w:r w:rsidR="009B00D5" w:rsidRPr="00E136EE">
        <w:rPr>
          <w:sz w:val="22"/>
          <w:szCs w:val="22"/>
        </w:rPr>
        <w:t xml:space="preserve">the </w:t>
      </w:r>
      <w:r w:rsidR="003E7B55" w:rsidRPr="00E136EE">
        <w:rPr>
          <w:sz w:val="22"/>
          <w:szCs w:val="22"/>
        </w:rPr>
        <w:t>decision</w:t>
      </w:r>
      <w:r w:rsidR="009B00D5" w:rsidRPr="00E136EE">
        <w:rPr>
          <w:sz w:val="22"/>
          <w:szCs w:val="22"/>
        </w:rPr>
        <w:t>-</w:t>
      </w:r>
      <w:r w:rsidR="003E7B55" w:rsidRPr="00E136EE">
        <w:rPr>
          <w:sz w:val="22"/>
          <w:szCs w:val="22"/>
        </w:rPr>
        <w:t>making processes</w:t>
      </w:r>
      <w:r w:rsidR="009B00D5" w:rsidRPr="00E136EE">
        <w:rPr>
          <w:sz w:val="22"/>
          <w:szCs w:val="22"/>
        </w:rPr>
        <w:t>,</w:t>
      </w:r>
      <w:r w:rsidR="003E7B55" w:rsidRPr="00E136EE">
        <w:rPr>
          <w:sz w:val="22"/>
          <w:szCs w:val="22"/>
        </w:rPr>
        <w:t xml:space="preserve"> when setting the budget and formulating strategy/policies.</w:t>
      </w:r>
      <w:r w:rsidR="00F70F86" w:rsidRPr="00E136EE">
        <w:rPr>
          <w:sz w:val="22"/>
          <w:szCs w:val="22"/>
        </w:rPr>
        <w:t xml:space="preserve"> This report has therefore been produced to support and inform local decision-making and the setting of priorities.</w:t>
      </w:r>
    </w:p>
    <w:p w14:paraId="6E333254" w14:textId="5CC74686" w:rsidR="00100859" w:rsidRPr="00D8131B" w:rsidRDefault="00E55171" w:rsidP="00E55171">
      <w:pPr>
        <w:pStyle w:val="Heading2"/>
        <w:numPr>
          <w:ilvl w:val="0"/>
          <w:numId w:val="0"/>
        </w:numPr>
        <w:tabs>
          <w:tab w:val="clear" w:pos="2160"/>
          <w:tab w:val="clear" w:pos="2883"/>
          <w:tab w:val="left" w:pos="709"/>
        </w:tabs>
        <w:spacing w:before="0"/>
        <w:ind w:right="421"/>
        <w:jc w:val="left"/>
        <w:rPr>
          <w:smallCaps w:val="0"/>
          <w:sz w:val="22"/>
          <w:szCs w:val="22"/>
        </w:rPr>
      </w:pPr>
      <w:r>
        <w:rPr>
          <w:smallCaps w:val="0"/>
          <w:sz w:val="22"/>
          <w:szCs w:val="22"/>
        </w:rPr>
        <w:t>19</w:t>
      </w:r>
      <w:r>
        <w:rPr>
          <w:smallCaps w:val="0"/>
          <w:sz w:val="22"/>
          <w:szCs w:val="22"/>
        </w:rPr>
        <w:tab/>
      </w:r>
      <w:r w:rsidR="009A2269" w:rsidRPr="00D8131B">
        <w:rPr>
          <w:smallCaps w:val="0"/>
          <w:sz w:val="22"/>
          <w:szCs w:val="22"/>
        </w:rPr>
        <w:t>C</w:t>
      </w:r>
      <w:r w:rsidR="00100859" w:rsidRPr="00D8131B">
        <w:rPr>
          <w:smallCaps w:val="0"/>
          <w:sz w:val="22"/>
          <w:szCs w:val="22"/>
        </w:rPr>
        <w:t>onclusion</w:t>
      </w:r>
      <w:r w:rsidR="00DA5689" w:rsidRPr="00D8131B">
        <w:rPr>
          <w:smallCaps w:val="0"/>
          <w:sz w:val="22"/>
          <w:szCs w:val="22"/>
        </w:rPr>
        <w:t>/Reasons for the Recommendation</w:t>
      </w:r>
    </w:p>
    <w:p w14:paraId="3D1EB089" w14:textId="09253986" w:rsidR="00100859" w:rsidRPr="00D8131B" w:rsidRDefault="00E55171" w:rsidP="00E55171">
      <w:pPr>
        <w:pStyle w:val="BodyText"/>
        <w:numPr>
          <w:ilvl w:val="0"/>
          <w:numId w:val="0"/>
        </w:numPr>
        <w:ind w:left="720" w:right="421" w:hanging="720"/>
        <w:jc w:val="left"/>
        <w:rPr>
          <w:sz w:val="22"/>
          <w:szCs w:val="22"/>
        </w:rPr>
      </w:pPr>
      <w:r>
        <w:rPr>
          <w:sz w:val="22"/>
          <w:szCs w:val="22"/>
        </w:rPr>
        <w:t>19.1</w:t>
      </w:r>
      <w:r>
        <w:rPr>
          <w:sz w:val="22"/>
          <w:szCs w:val="22"/>
        </w:rPr>
        <w:tab/>
      </w:r>
      <w:r w:rsidR="004556E3" w:rsidRPr="00D8131B">
        <w:rPr>
          <w:sz w:val="22"/>
          <w:szCs w:val="22"/>
        </w:rPr>
        <w:t xml:space="preserve">The </w:t>
      </w:r>
      <w:r w:rsidR="00324303" w:rsidRPr="00D8131B">
        <w:rPr>
          <w:sz w:val="22"/>
          <w:szCs w:val="22"/>
        </w:rPr>
        <w:t>report outlines the past year’s actions and future proposals for 20</w:t>
      </w:r>
      <w:r w:rsidR="002F57FC" w:rsidRPr="00D8131B">
        <w:rPr>
          <w:sz w:val="22"/>
          <w:szCs w:val="22"/>
        </w:rPr>
        <w:t>2</w:t>
      </w:r>
      <w:r w:rsidR="00E6520A" w:rsidRPr="00D8131B">
        <w:rPr>
          <w:sz w:val="22"/>
          <w:szCs w:val="22"/>
        </w:rPr>
        <w:t>2</w:t>
      </w:r>
      <w:r w:rsidR="00324303" w:rsidRPr="00D8131B">
        <w:rPr>
          <w:sz w:val="22"/>
          <w:szCs w:val="22"/>
        </w:rPr>
        <w:t>/</w:t>
      </w:r>
      <w:r w:rsidR="00E6520A" w:rsidRPr="00D8131B">
        <w:rPr>
          <w:sz w:val="22"/>
          <w:szCs w:val="22"/>
        </w:rPr>
        <w:t>23</w:t>
      </w:r>
      <w:r w:rsidR="00324303" w:rsidRPr="00D8131B">
        <w:rPr>
          <w:sz w:val="22"/>
          <w:szCs w:val="22"/>
        </w:rPr>
        <w:t>.</w:t>
      </w:r>
    </w:p>
    <w:p w14:paraId="2081FD9E" w14:textId="77777777" w:rsidR="00044719" w:rsidRDefault="00044719" w:rsidP="00A97E91">
      <w:pPr>
        <w:widowControl w:val="0"/>
        <w:tabs>
          <w:tab w:val="left" w:pos="452"/>
          <w:tab w:val="left" w:pos="2970"/>
          <w:tab w:val="left" w:pos="3690"/>
        </w:tabs>
        <w:spacing w:after="0"/>
        <w:ind w:left="0" w:firstLine="0"/>
        <w:jc w:val="left"/>
        <w:rPr>
          <w:b/>
          <w:snapToGrid w:val="0"/>
          <w:sz w:val="22"/>
          <w:szCs w:val="22"/>
        </w:rPr>
      </w:pPr>
    </w:p>
    <w:p w14:paraId="4A1E2FE7" w14:textId="77777777" w:rsidR="005F0A15" w:rsidRDefault="005F0A15" w:rsidP="00A97E91">
      <w:pPr>
        <w:widowControl w:val="0"/>
        <w:tabs>
          <w:tab w:val="left" w:pos="452"/>
          <w:tab w:val="left" w:pos="2970"/>
          <w:tab w:val="left" w:pos="3690"/>
        </w:tabs>
        <w:spacing w:after="0"/>
        <w:ind w:left="0" w:firstLine="0"/>
        <w:jc w:val="left"/>
        <w:rPr>
          <w:b/>
          <w:snapToGrid w:val="0"/>
          <w:sz w:val="22"/>
          <w:szCs w:val="22"/>
        </w:rPr>
      </w:pPr>
    </w:p>
    <w:p w14:paraId="117B1188" w14:textId="77777777" w:rsidR="005F0A15" w:rsidRDefault="005F0A15" w:rsidP="00A97E91">
      <w:pPr>
        <w:widowControl w:val="0"/>
        <w:tabs>
          <w:tab w:val="left" w:pos="452"/>
          <w:tab w:val="left" w:pos="2970"/>
          <w:tab w:val="left" w:pos="3690"/>
        </w:tabs>
        <w:spacing w:after="0"/>
        <w:ind w:left="0" w:firstLine="0"/>
        <w:jc w:val="left"/>
        <w:rPr>
          <w:b/>
          <w:snapToGrid w:val="0"/>
          <w:sz w:val="22"/>
          <w:szCs w:val="22"/>
        </w:rPr>
      </w:pPr>
    </w:p>
    <w:p w14:paraId="1FC8792D" w14:textId="66A7E151" w:rsidR="00044719" w:rsidRPr="009C4EA9" w:rsidRDefault="00044719" w:rsidP="00E55171">
      <w:pPr>
        <w:widowControl w:val="0"/>
        <w:tabs>
          <w:tab w:val="left" w:pos="452"/>
          <w:tab w:val="left" w:pos="2970"/>
          <w:tab w:val="left" w:pos="3690"/>
        </w:tabs>
        <w:spacing w:after="0"/>
        <w:ind w:left="0" w:right="421" w:firstLine="0"/>
        <w:jc w:val="center"/>
        <w:rPr>
          <w:bCs/>
          <w:snapToGrid w:val="0"/>
          <w:sz w:val="22"/>
          <w:szCs w:val="22"/>
        </w:rPr>
      </w:pPr>
      <w:r w:rsidRPr="009C4EA9">
        <w:rPr>
          <w:bCs/>
          <w:snapToGrid w:val="0"/>
          <w:sz w:val="22"/>
          <w:szCs w:val="22"/>
        </w:rPr>
        <w:t>Councillor Tony Jefferson</w:t>
      </w:r>
    </w:p>
    <w:p w14:paraId="171AC109" w14:textId="411CEC8D" w:rsidR="00044719" w:rsidRPr="009C4EA9" w:rsidRDefault="009C4EA9" w:rsidP="00E55171">
      <w:pPr>
        <w:widowControl w:val="0"/>
        <w:tabs>
          <w:tab w:val="left" w:pos="452"/>
          <w:tab w:val="left" w:pos="2970"/>
          <w:tab w:val="left" w:pos="3690"/>
        </w:tabs>
        <w:spacing w:after="0"/>
        <w:ind w:left="0" w:right="421" w:firstLine="0"/>
        <w:jc w:val="center"/>
        <w:rPr>
          <w:bCs/>
          <w:snapToGrid w:val="0"/>
          <w:sz w:val="22"/>
          <w:szCs w:val="22"/>
        </w:rPr>
      </w:pPr>
      <w:r w:rsidRPr="009C4EA9">
        <w:rPr>
          <w:bCs/>
          <w:snapToGrid w:val="0"/>
          <w:sz w:val="22"/>
          <w:szCs w:val="22"/>
        </w:rPr>
        <w:t>LEADER OF THE COUNCIL</w:t>
      </w:r>
    </w:p>
    <w:p w14:paraId="1464B44C" w14:textId="77777777" w:rsidR="00044719" w:rsidRDefault="00044719" w:rsidP="00A97E91">
      <w:pPr>
        <w:widowControl w:val="0"/>
        <w:tabs>
          <w:tab w:val="left" w:pos="452"/>
          <w:tab w:val="left" w:pos="2970"/>
          <w:tab w:val="left" w:pos="3690"/>
        </w:tabs>
        <w:spacing w:after="0"/>
        <w:ind w:left="0" w:firstLine="0"/>
        <w:jc w:val="left"/>
        <w:rPr>
          <w:b/>
          <w:snapToGrid w:val="0"/>
          <w:sz w:val="22"/>
          <w:szCs w:val="22"/>
        </w:rPr>
      </w:pPr>
    </w:p>
    <w:p w14:paraId="0FA631F8" w14:textId="77777777" w:rsidR="009C4EA9" w:rsidRDefault="009C4EA9" w:rsidP="00A97E91">
      <w:pPr>
        <w:widowControl w:val="0"/>
        <w:tabs>
          <w:tab w:val="left" w:pos="452"/>
          <w:tab w:val="left" w:pos="2970"/>
          <w:tab w:val="left" w:pos="3690"/>
        </w:tabs>
        <w:spacing w:after="0"/>
        <w:ind w:left="0" w:firstLine="0"/>
        <w:jc w:val="left"/>
        <w:rPr>
          <w:b/>
          <w:snapToGrid w:val="0"/>
          <w:sz w:val="22"/>
          <w:szCs w:val="22"/>
        </w:rPr>
      </w:pPr>
    </w:p>
    <w:p w14:paraId="2DC3E2ED" w14:textId="0DABB75D" w:rsidR="00E62132" w:rsidRPr="00752EAF" w:rsidRDefault="00E62132" w:rsidP="00A97E91">
      <w:pPr>
        <w:widowControl w:val="0"/>
        <w:tabs>
          <w:tab w:val="left" w:pos="452"/>
          <w:tab w:val="left" w:pos="2970"/>
          <w:tab w:val="left" w:pos="3690"/>
        </w:tabs>
        <w:spacing w:after="0"/>
        <w:ind w:left="0" w:firstLine="0"/>
        <w:jc w:val="left"/>
        <w:rPr>
          <w:snapToGrid w:val="0"/>
          <w:sz w:val="22"/>
          <w:szCs w:val="22"/>
        </w:rPr>
      </w:pPr>
      <w:r w:rsidRPr="00752EAF">
        <w:rPr>
          <w:b/>
          <w:snapToGrid w:val="0"/>
          <w:sz w:val="22"/>
          <w:szCs w:val="22"/>
        </w:rPr>
        <w:t xml:space="preserve">Background </w:t>
      </w:r>
      <w:r w:rsidR="00A12678" w:rsidRPr="00752EAF">
        <w:rPr>
          <w:b/>
          <w:snapToGrid w:val="0"/>
          <w:sz w:val="22"/>
          <w:szCs w:val="22"/>
        </w:rPr>
        <w:t>papers:</w:t>
      </w:r>
      <w:r w:rsidR="00A12678" w:rsidRPr="00752EAF">
        <w:rPr>
          <w:snapToGrid w:val="0"/>
          <w:sz w:val="22"/>
          <w:szCs w:val="22"/>
        </w:rPr>
        <w:t xml:space="preserve"> None</w:t>
      </w:r>
    </w:p>
    <w:p w14:paraId="3FE43714" w14:textId="77777777" w:rsidR="00A97E91" w:rsidRPr="001109AC" w:rsidRDefault="00A97E91" w:rsidP="00A97E91">
      <w:pPr>
        <w:widowControl w:val="0"/>
        <w:tabs>
          <w:tab w:val="left" w:pos="452"/>
          <w:tab w:val="left" w:pos="2970"/>
          <w:tab w:val="left" w:pos="3690"/>
        </w:tabs>
        <w:spacing w:after="0"/>
        <w:ind w:left="0" w:firstLine="0"/>
        <w:jc w:val="left"/>
        <w:rPr>
          <w:snapToGrid w:val="0"/>
          <w:sz w:val="22"/>
          <w:szCs w:val="22"/>
        </w:rPr>
      </w:pPr>
    </w:p>
    <w:p w14:paraId="4EE57BC2" w14:textId="3CCCF2CE" w:rsidR="00563EB5" w:rsidRPr="001109AC" w:rsidRDefault="00F35634" w:rsidP="00A97E91">
      <w:pPr>
        <w:widowControl w:val="0"/>
        <w:tabs>
          <w:tab w:val="left" w:pos="452"/>
          <w:tab w:val="left" w:pos="2970"/>
          <w:tab w:val="left" w:pos="3690"/>
        </w:tabs>
        <w:spacing w:after="0"/>
        <w:ind w:left="0" w:firstLine="0"/>
        <w:jc w:val="left"/>
        <w:rPr>
          <w:snapToGrid w:val="0"/>
          <w:sz w:val="22"/>
          <w:szCs w:val="22"/>
        </w:rPr>
      </w:pPr>
      <w:r w:rsidRPr="001109AC">
        <w:rPr>
          <w:b/>
          <w:snapToGrid w:val="0"/>
          <w:sz w:val="22"/>
          <w:szCs w:val="22"/>
        </w:rPr>
        <w:t>Supporting documents:</w:t>
      </w:r>
      <w:r w:rsidR="00C12E77" w:rsidRPr="001109AC">
        <w:rPr>
          <w:snapToGrid w:val="0"/>
          <w:sz w:val="22"/>
          <w:szCs w:val="22"/>
        </w:rPr>
        <w:t xml:space="preserve"> </w:t>
      </w:r>
    </w:p>
    <w:p w14:paraId="1BE4D453" w14:textId="77777777" w:rsidR="001109AC" w:rsidRDefault="001109AC" w:rsidP="00A97E91">
      <w:pPr>
        <w:widowControl w:val="0"/>
        <w:tabs>
          <w:tab w:val="left" w:pos="452"/>
          <w:tab w:val="left" w:pos="2970"/>
          <w:tab w:val="left" w:pos="3690"/>
        </w:tabs>
        <w:spacing w:after="0"/>
        <w:ind w:left="0" w:firstLine="0"/>
        <w:jc w:val="left"/>
        <w:rPr>
          <w:snapToGrid w:val="0"/>
          <w:sz w:val="22"/>
          <w:szCs w:val="22"/>
        </w:rPr>
      </w:pPr>
    </w:p>
    <w:p w14:paraId="54C99D43" w14:textId="7E5EF4DE" w:rsidR="00563EB5" w:rsidRPr="001109AC" w:rsidRDefault="00C12E77" w:rsidP="00A97E91">
      <w:pPr>
        <w:widowControl w:val="0"/>
        <w:tabs>
          <w:tab w:val="left" w:pos="452"/>
          <w:tab w:val="left" w:pos="2970"/>
          <w:tab w:val="left" w:pos="3690"/>
        </w:tabs>
        <w:spacing w:after="0"/>
        <w:ind w:left="0" w:firstLine="0"/>
        <w:jc w:val="left"/>
        <w:rPr>
          <w:snapToGrid w:val="0"/>
          <w:sz w:val="22"/>
          <w:szCs w:val="22"/>
        </w:rPr>
      </w:pPr>
      <w:r w:rsidRPr="001109AC">
        <w:rPr>
          <w:snapToGrid w:val="0"/>
          <w:sz w:val="22"/>
          <w:szCs w:val="22"/>
        </w:rPr>
        <w:t>Information Sources</w:t>
      </w:r>
    </w:p>
    <w:p w14:paraId="1E3D2945" w14:textId="0D650C57" w:rsidR="007423A1" w:rsidRPr="001109AC" w:rsidRDefault="007423A1" w:rsidP="00A97E91">
      <w:pPr>
        <w:widowControl w:val="0"/>
        <w:tabs>
          <w:tab w:val="left" w:pos="452"/>
          <w:tab w:val="left" w:pos="2970"/>
          <w:tab w:val="left" w:pos="3690"/>
        </w:tabs>
        <w:spacing w:after="0"/>
        <w:ind w:left="0" w:firstLine="0"/>
        <w:jc w:val="left"/>
        <w:rPr>
          <w:snapToGrid w:val="0"/>
          <w:sz w:val="22"/>
          <w:szCs w:val="22"/>
        </w:rPr>
      </w:pPr>
    </w:p>
    <w:p w14:paraId="70B34D54" w14:textId="1D8B980A" w:rsidR="00017E5A" w:rsidRPr="001109AC" w:rsidRDefault="001109AC" w:rsidP="00E62132">
      <w:pPr>
        <w:widowControl w:val="0"/>
        <w:tabs>
          <w:tab w:val="left" w:pos="452"/>
          <w:tab w:val="left" w:pos="2970"/>
          <w:tab w:val="left" w:pos="3690"/>
        </w:tabs>
        <w:spacing w:after="0"/>
        <w:ind w:left="0" w:firstLine="0"/>
        <w:rPr>
          <w:snapToGrid w:val="0"/>
          <w:color w:val="FF0000"/>
        </w:rPr>
        <w:sectPr w:rsidR="00017E5A" w:rsidRPr="001109AC" w:rsidSect="007423A1">
          <w:endnotePr>
            <w:numFmt w:val="decimal"/>
          </w:endnotePr>
          <w:pgSz w:w="11908" w:h="16833" w:code="9"/>
          <w:pgMar w:top="1560" w:right="993" w:bottom="1560" w:left="1134" w:header="432" w:footer="291" w:gutter="288"/>
          <w:pgNumType w:start="1"/>
          <w:cols w:space="720"/>
          <w:noEndnote/>
          <w:docGrid w:linePitch="272"/>
        </w:sectPr>
      </w:pPr>
      <w:r w:rsidRPr="001109AC">
        <w:rPr>
          <w:snapToGrid w:val="0"/>
          <w:sz w:val="22"/>
          <w:szCs w:val="22"/>
        </w:rPr>
        <w:t>Appendix 1 - Infographic</w:t>
      </w:r>
    </w:p>
    <w:p w14:paraId="5FC46803" w14:textId="1453137E" w:rsidR="007423A1" w:rsidRPr="000C2EB7" w:rsidRDefault="007423A1" w:rsidP="00FA2B93">
      <w:pPr>
        <w:widowControl w:val="0"/>
        <w:tabs>
          <w:tab w:val="left" w:pos="452"/>
          <w:tab w:val="left" w:pos="2970"/>
          <w:tab w:val="left" w:pos="3690"/>
        </w:tabs>
        <w:spacing w:after="0"/>
        <w:ind w:left="-709" w:firstLine="0"/>
        <w:rPr>
          <w:snapToGrid w:val="0"/>
          <w:color w:val="FF0000"/>
        </w:rPr>
      </w:pPr>
    </w:p>
    <w:sectPr w:rsidR="007423A1" w:rsidRPr="000C2EB7" w:rsidSect="007423A1">
      <w:footerReference w:type="default" r:id="rId28"/>
      <w:endnotePr>
        <w:numFmt w:val="decimal"/>
      </w:endnotePr>
      <w:pgSz w:w="11908" w:h="16833" w:code="9"/>
      <w:pgMar w:top="1276" w:right="1871" w:bottom="2016" w:left="1134" w:header="432" w:footer="432" w:gutter="288"/>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C2414" w14:textId="77777777" w:rsidR="00CF7324" w:rsidRDefault="00CF7324" w:rsidP="00100859">
      <w:r>
        <w:separator/>
      </w:r>
    </w:p>
  </w:endnote>
  <w:endnote w:type="continuationSeparator" w:id="0">
    <w:p w14:paraId="2B15E93D" w14:textId="77777777" w:rsidR="00CF7324" w:rsidRDefault="00CF7324" w:rsidP="00100859">
      <w:r>
        <w:continuationSeparator/>
      </w:r>
    </w:p>
  </w:endnote>
  <w:endnote w:type="continuationNotice" w:id="1">
    <w:p w14:paraId="0BEEC015" w14:textId="77777777" w:rsidR="00CF7324" w:rsidRDefault="00CF7324">
      <w:pPr>
        <w:spacing w:after="0"/>
      </w:pPr>
    </w:p>
  </w:endnote>
  <w:endnote w:id="2">
    <w:p w14:paraId="4908EFB7" w14:textId="77777777" w:rsidR="002C364E" w:rsidRPr="008B7A69" w:rsidRDefault="002C364E" w:rsidP="00C56AE3">
      <w:pPr>
        <w:widowControl w:val="0"/>
        <w:tabs>
          <w:tab w:val="left" w:pos="452"/>
          <w:tab w:val="left" w:pos="2970"/>
          <w:tab w:val="left" w:pos="3690"/>
        </w:tabs>
        <w:ind w:left="0" w:firstLine="0"/>
        <w:rPr>
          <w:b/>
        </w:rPr>
      </w:pPr>
      <w:r w:rsidRPr="008B7A69">
        <w:rPr>
          <w:b/>
        </w:rPr>
        <w:t>Information Sources</w:t>
      </w:r>
    </w:p>
    <w:p w14:paraId="276051C0" w14:textId="77777777" w:rsidR="00FB7807" w:rsidRPr="003C4E7D" w:rsidRDefault="002C364E" w:rsidP="00A12678">
      <w:pPr>
        <w:pStyle w:val="EndnoteText"/>
        <w:ind w:left="142" w:hanging="142"/>
        <w:rPr>
          <w:sz w:val="22"/>
          <w:szCs w:val="22"/>
        </w:rPr>
      </w:pPr>
      <w:r>
        <w:rPr>
          <w:rStyle w:val="EndnoteReference"/>
        </w:rPr>
        <w:endnoteRef/>
      </w:r>
      <w:r>
        <w:t xml:space="preserve"> </w:t>
      </w:r>
      <w:r w:rsidR="00950DE1" w:rsidRPr="003C4E7D">
        <w:rPr>
          <w:sz w:val="22"/>
          <w:szCs w:val="22"/>
        </w:rPr>
        <w:t>Census 2021</w:t>
      </w:r>
    </w:p>
    <w:p w14:paraId="1D035207" w14:textId="737D422B" w:rsidR="002C364E" w:rsidRDefault="004A23DC" w:rsidP="00A12678">
      <w:pPr>
        <w:pStyle w:val="EndnoteText"/>
        <w:ind w:left="142" w:hanging="142"/>
        <w:rPr>
          <w:rStyle w:val="Hyperlink"/>
          <w:color w:val="76923C" w:themeColor="accent3" w:themeShade="BF"/>
          <w:sz w:val="22"/>
          <w:szCs w:val="22"/>
        </w:rPr>
      </w:pPr>
      <w:hyperlink r:id="rId1" w:history="1">
        <w:r w:rsidR="00F24F1A" w:rsidRPr="00453D7B">
          <w:rPr>
            <w:rStyle w:val="Hyperlink"/>
            <w:color w:val="76923C" w:themeColor="accent3" w:themeShade="BF"/>
            <w:sz w:val="22"/>
            <w:szCs w:val="22"/>
          </w:rPr>
          <w:t>Population and household estimates, England and Wales: Census 2021 - Office for National Statistics (ons.gov.uk)</w:t>
        </w:r>
      </w:hyperlink>
    </w:p>
    <w:p w14:paraId="59D094FE" w14:textId="77777777" w:rsidR="00453D7B" w:rsidRPr="00217793" w:rsidRDefault="00453D7B" w:rsidP="00A12678">
      <w:pPr>
        <w:pStyle w:val="EndnoteText"/>
        <w:ind w:left="142" w:hanging="142"/>
        <w:rPr>
          <w:sz w:val="22"/>
          <w:szCs w:val="22"/>
        </w:rPr>
      </w:pPr>
    </w:p>
  </w:endnote>
  <w:endnote w:id="3">
    <w:p w14:paraId="13C069AF" w14:textId="64F636B1" w:rsidR="00AE1C10" w:rsidRPr="003C4E7D" w:rsidRDefault="00AE1C10">
      <w:pPr>
        <w:pStyle w:val="EndnoteText"/>
        <w:rPr>
          <w:sz w:val="22"/>
          <w:szCs w:val="22"/>
        </w:rPr>
      </w:pPr>
      <w:r>
        <w:rPr>
          <w:rStyle w:val="EndnoteReference"/>
        </w:rPr>
        <w:endnoteRef/>
      </w:r>
      <w:r>
        <w:t xml:space="preserve"> </w:t>
      </w:r>
      <w:r w:rsidRPr="003C4E7D">
        <w:rPr>
          <w:sz w:val="22"/>
          <w:szCs w:val="22"/>
        </w:rPr>
        <w:t xml:space="preserve">Census 2021 </w:t>
      </w:r>
    </w:p>
    <w:p w14:paraId="3F27D964" w14:textId="23FE5055" w:rsidR="00453D7B" w:rsidRDefault="004A23DC">
      <w:pPr>
        <w:pStyle w:val="EndnoteText"/>
        <w:rPr>
          <w:color w:val="76923C" w:themeColor="accent3" w:themeShade="BF"/>
        </w:rPr>
      </w:pPr>
      <w:hyperlink r:id="rId2" w:history="1">
        <w:r w:rsidR="00453D7B" w:rsidRPr="00453D7B">
          <w:rPr>
            <w:rStyle w:val="Hyperlink"/>
            <w:color w:val="76923C" w:themeColor="accent3" w:themeShade="BF"/>
          </w:rPr>
          <w:t>Stratford-on-Avon population change, Census 2021 – ONS</w:t>
        </w:r>
      </w:hyperlink>
    </w:p>
    <w:p w14:paraId="69F63CEF" w14:textId="77777777" w:rsidR="00453D7B" w:rsidRDefault="00453D7B">
      <w:pPr>
        <w:pStyle w:val="EndnoteText"/>
      </w:pPr>
    </w:p>
  </w:endnote>
  <w:endnote w:id="4">
    <w:p w14:paraId="5B9B2AF3" w14:textId="77777777" w:rsidR="00FB7807" w:rsidRDefault="002C364E" w:rsidP="00A12678">
      <w:pPr>
        <w:pStyle w:val="EndnoteText"/>
        <w:ind w:left="142" w:hanging="142"/>
        <w:rPr>
          <w:sz w:val="22"/>
          <w:szCs w:val="22"/>
        </w:rPr>
      </w:pPr>
      <w:r w:rsidRPr="00217793">
        <w:rPr>
          <w:rStyle w:val="EndnoteReference"/>
          <w:sz w:val="22"/>
          <w:szCs w:val="22"/>
        </w:rPr>
        <w:endnoteRef/>
      </w:r>
      <w:r w:rsidRPr="00217793">
        <w:rPr>
          <w:sz w:val="22"/>
          <w:szCs w:val="22"/>
        </w:rPr>
        <w:t xml:space="preserve"> </w:t>
      </w:r>
      <w:r w:rsidR="00FB7807">
        <w:rPr>
          <w:sz w:val="22"/>
          <w:szCs w:val="22"/>
        </w:rPr>
        <w:t>Census 2021</w:t>
      </w:r>
    </w:p>
    <w:p w14:paraId="5632BC6D" w14:textId="77777777" w:rsidR="00971D42" w:rsidRDefault="004A23DC" w:rsidP="00971D42">
      <w:pPr>
        <w:pStyle w:val="EndnoteText"/>
        <w:rPr>
          <w:color w:val="76923C" w:themeColor="accent3" w:themeShade="BF"/>
        </w:rPr>
      </w:pPr>
      <w:hyperlink r:id="rId3" w:history="1">
        <w:r w:rsidR="00971D42" w:rsidRPr="00453D7B">
          <w:rPr>
            <w:rStyle w:val="Hyperlink"/>
            <w:color w:val="76923C" w:themeColor="accent3" w:themeShade="BF"/>
          </w:rPr>
          <w:t>Stratford-on-Avon population change, Census 2021 – ONS</w:t>
        </w:r>
      </w:hyperlink>
    </w:p>
    <w:p w14:paraId="6C55B69C" w14:textId="77777777" w:rsidR="00453D7B" w:rsidRPr="00453D7B" w:rsidRDefault="00453D7B" w:rsidP="00A12678">
      <w:pPr>
        <w:pStyle w:val="EndnoteText"/>
        <w:ind w:left="142" w:hanging="142"/>
        <w:rPr>
          <w:color w:val="76923C" w:themeColor="accent3" w:themeShade="BF"/>
          <w:sz w:val="22"/>
          <w:szCs w:val="22"/>
        </w:rPr>
      </w:pPr>
    </w:p>
  </w:endnote>
  <w:endnote w:id="5">
    <w:p w14:paraId="212C2D4D" w14:textId="65F26A4B" w:rsidR="00FB7807" w:rsidRDefault="00B604B7" w:rsidP="00217793">
      <w:pPr>
        <w:pStyle w:val="EndnoteText"/>
        <w:rPr>
          <w:sz w:val="22"/>
          <w:szCs w:val="22"/>
        </w:rPr>
      </w:pPr>
      <w:r w:rsidRPr="00217793">
        <w:rPr>
          <w:rStyle w:val="EndnoteReference"/>
          <w:sz w:val="22"/>
          <w:szCs w:val="22"/>
        </w:rPr>
        <w:endnoteRef/>
      </w:r>
      <w:r w:rsidR="00217793" w:rsidRPr="00217793">
        <w:rPr>
          <w:sz w:val="22"/>
          <w:szCs w:val="22"/>
        </w:rPr>
        <w:t xml:space="preserve"> </w:t>
      </w:r>
      <w:r w:rsidR="008F0A0E">
        <w:rPr>
          <w:sz w:val="22"/>
          <w:szCs w:val="22"/>
        </w:rPr>
        <w:t xml:space="preserve">ONS Population Projections via </w:t>
      </w:r>
      <w:r w:rsidR="00217793" w:rsidRPr="00217793">
        <w:rPr>
          <w:sz w:val="22"/>
          <w:szCs w:val="22"/>
        </w:rPr>
        <w:t xml:space="preserve">InstantAtlas Warwickshire. </w:t>
      </w:r>
    </w:p>
    <w:p w14:paraId="63216252" w14:textId="46C8E3D4" w:rsidR="00B604B7" w:rsidRPr="008F0A0E" w:rsidRDefault="004A23DC" w:rsidP="00217793">
      <w:pPr>
        <w:pStyle w:val="EndnoteText"/>
        <w:rPr>
          <w:color w:val="76923C" w:themeColor="accent3" w:themeShade="BF"/>
        </w:rPr>
      </w:pPr>
      <w:hyperlink r:id="rId4" w:anchor="/view-report/9925e741b4b449c090dd87016ce0eae9/E07000221/G2" w:history="1">
        <w:r w:rsidR="008F0A0E" w:rsidRPr="008F0A0E">
          <w:rPr>
            <w:rStyle w:val="Hyperlink"/>
            <w:color w:val="76923C" w:themeColor="accent3" w:themeShade="BF"/>
          </w:rPr>
          <w:t>Population - LTLA | Stratford-on-Avon | InstantAtlas Reports (warwickshire.gov.uk)</w:t>
        </w:r>
      </w:hyperlink>
    </w:p>
    <w:p w14:paraId="65AE08AF" w14:textId="77777777" w:rsidR="008F0A0E" w:rsidRPr="00217793" w:rsidRDefault="008F0A0E" w:rsidP="00217793">
      <w:pPr>
        <w:pStyle w:val="EndnoteText"/>
        <w:rPr>
          <w:sz w:val="22"/>
          <w:szCs w:val="22"/>
        </w:rPr>
      </w:pPr>
    </w:p>
  </w:endnote>
  <w:endnote w:id="6">
    <w:p w14:paraId="096E39D2" w14:textId="148D27F2" w:rsidR="002C364E" w:rsidRDefault="002C364E" w:rsidP="00E4031E">
      <w:pPr>
        <w:pStyle w:val="EndnoteText"/>
        <w:ind w:left="142" w:hanging="142"/>
        <w:rPr>
          <w:sz w:val="22"/>
          <w:szCs w:val="22"/>
        </w:rPr>
      </w:pPr>
      <w:r w:rsidRPr="00217793">
        <w:rPr>
          <w:rStyle w:val="EndnoteReference"/>
          <w:sz w:val="22"/>
          <w:szCs w:val="22"/>
        </w:rPr>
        <w:endnoteRef/>
      </w:r>
      <w:r w:rsidRPr="00217793">
        <w:rPr>
          <w:sz w:val="22"/>
          <w:szCs w:val="22"/>
        </w:rPr>
        <w:t xml:space="preserve"> </w:t>
      </w:r>
      <w:r w:rsidR="000D4A70">
        <w:rPr>
          <w:sz w:val="22"/>
          <w:szCs w:val="22"/>
        </w:rPr>
        <w:t xml:space="preserve">ONS </w:t>
      </w:r>
    </w:p>
    <w:p w14:paraId="39972814" w14:textId="65493D2F" w:rsidR="004A4ED6" w:rsidRDefault="004A23DC" w:rsidP="00E4031E">
      <w:pPr>
        <w:pStyle w:val="EndnoteText"/>
        <w:ind w:left="142" w:hanging="142"/>
        <w:rPr>
          <w:color w:val="76923C" w:themeColor="accent3" w:themeShade="BF"/>
        </w:rPr>
      </w:pPr>
      <w:hyperlink r:id="rId5" w:history="1">
        <w:r w:rsidR="007C1F06" w:rsidRPr="007C1F06">
          <w:rPr>
            <w:rStyle w:val="Hyperlink"/>
            <w:color w:val="76923C" w:themeColor="accent3" w:themeShade="BF"/>
          </w:rPr>
          <w:t>Ward-level population estimates (Experimental Statistics) - Office for National Statistics (ons.gov.uk)</w:t>
        </w:r>
      </w:hyperlink>
    </w:p>
    <w:p w14:paraId="60C0B198" w14:textId="77777777" w:rsidR="007C1F06" w:rsidRPr="00217793" w:rsidRDefault="007C1F06" w:rsidP="00E4031E">
      <w:pPr>
        <w:pStyle w:val="EndnoteText"/>
        <w:ind w:left="142" w:hanging="142"/>
        <w:rPr>
          <w:sz w:val="22"/>
          <w:szCs w:val="22"/>
        </w:rPr>
      </w:pPr>
    </w:p>
  </w:endnote>
  <w:endnote w:id="7">
    <w:p w14:paraId="4E338FE6" w14:textId="1602D775" w:rsidR="00217793" w:rsidRDefault="00333A9C" w:rsidP="00217793">
      <w:pPr>
        <w:pStyle w:val="EndnoteText"/>
        <w:rPr>
          <w:sz w:val="22"/>
          <w:szCs w:val="22"/>
        </w:rPr>
      </w:pPr>
      <w:r w:rsidRPr="00217793">
        <w:rPr>
          <w:rStyle w:val="EndnoteReference"/>
          <w:sz w:val="22"/>
          <w:szCs w:val="22"/>
        </w:rPr>
        <w:endnoteRef/>
      </w:r>
      <w:r w:rsidRPr="00217793">
        <w:rPr>
          <w:sz w:val="22"/>
          <w:szCs w:val="22"/>
        </w:rPr>
        <w:t xml:space="preserve"> </w:t>
      </w:r>
      <w:r w:rsidR="00217793" w:rsidRPr="00217793">
        <w:rPr>
          <w:sz w:val="22"/>
          <w:szCs w:val="22"/>
        </w:rPr>
        <w:t xml:space="preserve">InstantAtlas Warwickshire. </w:t>
      </w:r>
    </w:p>
    <w:p w14:paraId="250A320E" w14:textId="2A13E0C7" w:rsidR="00231078" w:rsidRDefault="004A23DC" w:rsidP="00217793">
      <w:pPr>
        <w:pStyle w:val="EndnoteText"/>
        <w:rPr>
          <w:color w:val="76923C" w:themeColor="accent3" w:themeShade="BF"/>
        </w:rPr>
      </w:pPr>
      <w:hyperlink r:id="rId6" w:anchor="/view-report/999023d8d7094ce6adedb825996c67ce/E07000221/G2" w:history="1">
        <w:r w:rsidR="00231078" w:rsidRPr="00231078">
          <w:rPr>
            <w:rStyle w:val="Hyperlink"/>
            <w:color w:val="76923C" w:themeColor="accent3" w:themeShade="BF"/>
          </w:rPr>
          <w:t>Housing - LTLA | Stratford-on-Avon | InstantAtlas Reports (warwickshire.gov.uk)</w:t>
        </w:r>
      </w:hyperlink>
    </w:p>
    <w:p w14:paraId="459E43F4" w14:textId="1228F856" w:rsidR="00333A9C" w:rsidRPr="00217793" w:rsidRDefault="00333A9C" w:rsidP="00231078">
      <w:pPr>
        <w:pStyle w:val="EndnoteText"/>
        <w:ind w:left="0" w:firstLine="0"/>
        <w:rPr>
          <w:sz w:val="22"/>
          <w:szCs w:val="22"/>
        </w:rPr>
      </w:pPr>
    </w:p>
  </w:endnote>
  <w:endnote w:id="8">
    <w:p w14:paraId="2B30425F" w14:textId="77777777" w:rsidR="006A55D7" w:rsidRDefault="002F41EF" w:rsidP="006A55D7">
      <w:pPr>
        <w:pStyle w:val="EndnoteText"/>
        <w:rPr>
          <w:sz w:val="22"/>
          <w:szCs w:val="22"/>
        </w:rPr>
      </w:pPr>
      <w:r w:rsidRPr="00217793">
        <w:rPr>
          <w:rStyle w:val="EndnoteReference"/>
          <w:sz w:val="22"/>
          <w:szCs w:val="22"/>
        </w:rPr>
        <w:endnoteRef/>
      </w:r>
      <w:r w:rsidRPr="00217793">
        <w:rPr>
          <w:sz w:val="22"/>
          <w:szCs w:val="22"/>
        </w:rPr>
        <w:t xml:space="preserve"> </w:t>
      </w:r>
      <w:r w:rsidR="006A55D7">
        <w:rPr>
          <w:sz w:val="22"/>
          <w:szCs w:val="22"/>
        </w:rPr>
        <w:t>InstantAtlas Warwickshire</w:t>
      </w:r>
    </w:p>
    <w:p w14:paraId="756EF6A6" w14:textId="77777777" w:rsidR="006A55D7" w:rsidRPr="00454333" w:rsidRDefault="004A23DC" w:rsidP="006A55D7">
      <w:pPr>
        <w:pStyle w:val="EndnoteText"/>
        <w:rPr>
          <w:color w:val="76923C" w:themeColor="accent3" w:themeShade="BF"/>
          <w:sz w:val="22"/>
          <w:szCs w:val="22"/>
        </w:rPr>
      </w:pPr>
      <w:hyperlink r:id="rId7" w:anchor="/view-report/999023d8d7094ce6adedb825996c67ce/E07000221/G2" w:history="1">
        <w:r w:rsidR="006A55D7" w:rsidRPr="00454333">
          <w:rPr>
            <w:rStyle w:val="Hyperlink"/>
            <w:color w:val="76923C" w:themeColor="accent3" w:themeShade="BF"/>
          </w:rPr>
          <w:t>Housing - LTLA | Stratford-on-Avon | InstantAtlas Reports (warwickshire.gov.uk)</w:t>
        </w:r>
      </w:hyperlink>
      <w:r w:rsidR="006A55D7" w:rsidRPr="00454333">
        <w:rPr>
          <w:color w:val="76923C" w:themeColor="accent3" w:themeShade="BF"/>
          <w:sz w:val="22"/>
          <w:szCs w:val="22"/>
        </w:rPr>
        <w:t xml:space="preserve"> </w:t>
      </w:r>
    </w:p>
    <w:p w14:paraId="7EE9631E" w14:textId="77777777" w:rsidR="00231078" w:rsidRPr="00217793" w:rsidRDefault="00231078" w:rsidP="006A55D7">
      <w:pPr>
        <w:pStyle w:val="EndnoteText"/>
        <w:ind w:left="0" w:firstLine="0"/>
        <w:rPr>
          <w:sz w:val="22"/>
          <w:szCs w:val="22"/>
        </w:rPr>
      </w:pPr>
    </w:p>
  </w:endnote>
  <w:endnote w:id="9">
    <w:p w14:paraId="179576C6" w14:textId="06421CB3" w:rsidR="00121F0E" w:rsidRDefault="005B0D66">
      <w:pPr>
        <w:pStyle w:val="EndnoteText"/>
        <w:rPr>
          <w:sz w:val="22"/>
          <w:szCs w:val="22"/>
        </w:rPr>
      </w:pPr>
      <w:r w:rsidRPr="00217793">
        <w:rPr>
          <w:rStyle w:val="EndnoteReference"/>
          <w:sz w:val="22"/>
          <w:szCs w:val="22"/>
        </w:rPr>
        <w:endnoteRef/>
      </w:r>
      <w:r w:rsidRPr="00217793">
        <w:rPr>
          <w:sz w:val="22"/>
          <w:szCs w:val="22"/>
        </w:rPr>
        <w:t xml:space="preserve"> </w:t>
      </w:r>
      <w:r w:rsidR="00A160A3" w:rsidRPr="00217793">
        <w:rPr>
          <w:sz w:val="22"/>
          <w:szCs w:val="22"/>
        </w:rPr>
        <w:t xml:space="preserve">ONS </w:t>
      </w:r>
    </w:p>
    <w:p w14:paraId="44EDC035" w14:textId="1A9ADC76" w:rsidR="005B0D66" w:rsidRDefault="004A23DC" w:rsidP="00121F0E">
      <w:pPr>
        <w:pStyle w:val="EndnoteText"/>
        <w:ind w:left="0" w:firstLine="0"/>
        <w:rPr>
          <w:color w:val="76923C" w:themeColor="accent3" w:themeShade="BF"/>
        </w:rPr>
      </w:pPr>
      <w:hyperlink r:id="rId8" w:history="1">
        <w:r w:rsidR="00121F0E" w:rsidRPr="00121F0E">
          <w:rPr>
            <w:rStyle w:val="Hyperlink"/>
            <w:color w:val="76923C" w:themeColor="accent3" w:themeShade="BF"/>
          </w:rPr>
          <w:t>Lower quartile house prices for administrative geographies: HPSSA dataset 15 - Office for National Statistics (ons.gov.uk)</w:t>
        </w:r>
      </w:hyperlink>
    </w:p>
    <w:p w14:paraId="49EFE228" w14:textId="77777777" w:rsidR="00121F0E" w:rsidRPr="00217793" w:rsidRDefault="00121F0E" w:rsidP="00121F0E">
      <w:pPr>
        <w:pStyle w:val="EndnoteText"/>
        <w:ind w:left="0" w:firstLine="0"/>
        <w:rPr>
          <w:sz w:val="22"/>
          <w:szCs w:val="22"/>
        </w:rPr>
      </w:pPr>
    </w:p>
  </w:endnote>
  <w:endnote w:id="10">
    <w:p w14:paraId="34AAC6B8" w14:textId="3153B1D4" w:rsidR="00D21238" w:rsidRDefault="00D21238">
      <w:pPr>
        <w:pStyle w:val="EndnoteText"/>
        <w:rPr>
          <w:sz w:val="22"/>
          <w:szCs w:val="22"/>
        </w:rPr>
      </w:pPr>
      <w:r w:rsidRPr="00217793">
        <w:rPr>
          <w:rStyle w:val="EndnoteReference"/>
          <w:sz w:val="22"/>
          <w:szCs w:val="22"/>
        </w:rPr>
        <w:endnoteRef/>
      </w:r>
      <w:r w:rsidRPr="00217793">
        <w:rPr>
          <w:sz w:val="22"/>
          <w:szCs w:val="22"/>
        </w:rPr>
        <w:t xml:space="preserve"> </w:t>
      </w:r>
      <w:r w:rsidR="00F25AF9">
        <w:rPr>
          <w:sz w:val="22"/>
          <w:szCs w:val="22"/>
        </w:rPr>
        <w:t xml:space="preserve">ONS </w:t>
      </w:r>
    </w:p>
    <w:p w14:paraId="51E103E9" w14:textId="03BE20E8" w:rsidR="00F25AF9" w:rsidRDefault="004A23DC">
      <w:pPr>
        <w:pStyle w:val="EndnoteText"/>
        <w:rPr>
          <w:color w:val="76923C" w:themeColor="accent3" w:themeShade="BF"/>
        </w:rPr>
      </w:pPr>
      <w:hyperlink r:id="rId9" w:history="1">
        <w:r w:rsidR="00F25AF9" w:rsidRPr="00F25AF9">
          <w:rPr>
            <w:rStyle w:val="Hyperlink"/>
            <w:color w:val="76923C" w:themeColor="accent3" w:themeShade="BF"/>
          </w:rPr>
          <w:t>Tenth percentile house prices for wards: HPSSA dataset 40 - Office for National Statistics (ons.gov.uk)</w:t>
        </w:r>
      </w:hyperlink>
    </w:p>
    <w:p w14:paraId="67DF8B59" w14:textId="77777777" w:rsidR="00F25AF9" w:rsidRPr="00217793" w:rsidRDefault="00F25AF9">
      <w:pPr>
        <w:pStyle w:val="EndnoteText"/>
        <w:rPr>
          <w:sz w:val="22"/>
          <w:szCs w:val="22"/>
        </w:rPr>
      </w:pPr>
    </w:p>
  </w:endnote>
  <w:endnote w:id="11">
    <w:p w14:paraId="4D659964" w14:textId="71527BED" w:rsidR="00F25AF9" w:rsidRDefault="00F25AF9">
      <w:pPr>
        <w:pStyle w:val="EndnoteText"/>
      </w:pPr>
      <w:r>
        <w:rPr>
          <w:rStyle w:val="EndnoteReference"/>
        </w:rPr>
        <w:endnoteRef/>
      </w:r>
      <w:r>
        <w:t xml:space="preserve"> </w:t>
      </w:r>
      <w:r w:rsidRPr="005D5FDB">
        <w:rPr>
          <w:sz w:val="22"/>
          <w:szCs w:val="22"/>
        </w:rPr>
        <w:t>InstantAtlas Warwickshire</w:t>
      </w:r>
    </w:p>
    <w:p w14:paraId="56469175" w14:textId="41B1F9CE" w:rsidR="005D5FDB" w:rsidRDefault="004A23DC">
      <w:pPr>
        <w:pStyle w:val="EndnoteText"/>
        <w:rPr>
          <w:color w:val="76923C" w:themeColor="accent3" w:themeShade="BF"/>
        </w:rPr>
      </w:pPr>
      <w:hyperlink r:id="rId10" w:anchor="/view-report/999023d8d7094ce6adedb825996c67ce/E07000221/G2" w:history="1">
        <w:r w:rsidR="005D5FDB" w:rsidRPr="005D5FDB">
          <w:rPr>
            <w:rStyle w:val="Hyperlink"/>
            <w:color w:val="76923C" w:themeColor="accent3" w:themeShade="BF"/>
          </w:rPr>
          <w:t>Housing - LTLA | Stratford-on-Avon | InstantAtlas Reports (warwickshire.gov.uk)</w:t>
        </w:r>
      </w:hyperlink>
    </w:p>
    <w:p w14:paraId="5C8961EF" w14:textId="77777777" w:rsidR="005D5FDB" w:rsidRDefault="005D5FDB">
      <w:pPr>
        <w:pStyle w:val="EndnoteText"/>
      </w:pPr>
    </w:p>
  </w:endnote>
  <w:endnote w:id="12">
    <w:p w14:paraId="501F728F" w14:textId="77777777" w:rsidR="00694E31" w:rsidRDefault="00694E31" w:rsidP="00694E31">
      <w:pPr>
        <w:pStyle w:val="EndnoteText"/>
        <w:rPr>
          <w:sz w:val="22"/>
          <w:szCs w:val="22"/>
        </w:rPr>
      </w:pPr>
      <w:r>
        <w:rPr>
          <w:rStyle w:val="EndnoteReference"/>
        </w:rPr>
        <w:endnoteRef/>
      </w:r>
      <w:r>
        <w:t xml:space="preserve"> </w:t>
      </w:r>
      <w:r>
        <w:rPr>
          <w:sz w:val="22"/>
          <w:szCs w:val="22"/>
        </w:rPr>
        <w:t xml:space="preserve">ONS </w:t>
      </w:r>
    </w:p>
    <w:p w14:paraId="617AC844" w14:textId="77777777" w:rsidR="00694E31" w:rsidRDefault="004A23DC" w:rsidP="00694E31">
      <w:pPr>
        <w:pStyle w:val="EndnoteText"/>
        <w:rPr>
          <w:color w:val="76923C" w:themeColor="accent3" w:themeShade="BF"/>
        </w:rPr>
      </w:pPr>
      <w:hyperlink r:id="rId11" w:history="1">
        <w:r w:rsidR="00694E31" w:rsidRPr="00562014">
          <w:rPr>
            <w:rStyle w:val="Hyperlink"/>
            <w:color w:val="76923C" w:themeColor="accent3" w:themeShade="BF"/>
          </w:rPr>
          <w:t>Private rental market summary statistics in England - Office for National Statistics (ons.gov.uk)</w:t>
        </w:r>
      </w:hyperlink>
    </w:p>
    <w:p w14:paraId="66727505" w14:textId="3E61BD42" w:rsidR="00694E31" w:rsidRDefault="00694E31">
      <w:pPr>
        <w:pStyle w:val="EndnoteText"/>
      </w:pPr>
    </w:p>
  </w:endnote>
  <w:endnote w:id="13">
    <w:p w14:paraId="7BCC59CF" w14:textId="77777777" w:rsidR="00694E31" w:rsidRDefault="002C364E" w:rsidP="00694E31">
      <w:pPr>
        <w:pStyle w:val="EndnoteText"/>
        <w:ind w:left="0" w:firstLine="0"/>
        <w:rPr>
          <w:sz w:val="22"/>
          <w:szCs w:val="22"/>
        </w:rPr>
      </w:pPr>
      <w:r w:rsidRPr="00217793">
        <w:rPr>
          <w:rStyle w:val="EndnoteReference"/>
          <w:sz w:val="22"/>
          <w:szCs w:val="22"/>
        </w:rPr>
        <w:endnoteRef/>
      </w:r>
      <w:r w:rsidR="00694E31">
        <w:rPr>
          <w:sz w:val="22"/>
          <w:szCs w:val="22"/>
        </w:rPr>
        <w:t>InstantAtlas Warwickshire</w:t>
      </w:r>
    </w:p>
    <w:p w14:paraId="699E61D1" w14:textId="77777777" w:rsidR="00694E31" w:rsidRPr="00454333" w:rsidRDefault="004A23DC" w:rsidP="00694E31">
      <w:pPr>
        <w:pStyle w:val="EndnoteText"/>
        <w:rPr>
          <w:color w:val="76923C" w:themeColor="accent3" w:themeShade="BF"/>
          <w:sz w:val="22"/>
          <w:szCs w:val="22"/>
        </w:rPr>
      </w:pPr>
      <w:hyperlink r:id="rId12" w:anchor="/view-report/999023d8d7094ce6adedb825996c67ce/E07000221/G2" w:history="1">
        <w:r w:rsidR="00694E31" w:rsidRPr="00454333">
          <w:rPr>
            <w:rStyle w:val="Hyperlink"/>
            <w:color w:val="76923C" w:themeColor="accent3" w:themeShade="BF"/>
          </w:rPr>
          <w:t>Housing - LTLA | Stratford-on-Avon | InstantAtlas Reports (warwickshire.gov.uk)</w:t>
        </w:r>
      </w:hyperlink>
      <w:r w:rsidR="00694E31" w:rsidRPr="00454333">
        <w:rPr>
          <w:color w:val="76923C" w:themeColor="accent3" w:themeShade="BF"/>
          <w:sz w:val="22"/>
          <w:szCs w:val="22"/>
        </w:rPr>
        <w:t xml:space="preserve"> </w:t>
      </w:r>
    </w:p>
    <w:p w14:paraId="6B6F8408" w14:textId="77777777" w:rsidR="006F22F5" w:rsidRPr="00217793" w:rsidRDefault="006F22F5" w:rsidP="00694E31">
      <w:pPr>
        <w:pStyle w:val="EndnoteText"/>
        <w:ind w:left="0" w:firstLine="0"/>
        <w:rPr>
          <w:sz w:val="22"/>
          <w:szCs w:val="22"/>
        </w:rPr>
      </w:pPr>
    </w:p>
  </w:endnote>
  <w:endnote w:id="14">
    <w:p w14:paraId="0A597FE7" w14:textId="77777777" w:rsidR="00694E31" w:rsidRDefault="002C364E" w:rsidP="00694E31">
      <w:pPr>
        <w:pStyle w:val="EndnoteText"/>
        <w:ind w:left="0" w:firstLine="0"/>
        <w:rPr>
          <w:sz w:val="22"/>
          <w:szCs w:val="22"/>
        </w:rPr>
      </w:pPr>
      <w:r w:rsidRPr="00217793">
        <w:rPr>
          <w:rStyle w:val="EndnoteReference"/>
          <w:sz w:val="22"/>
          <w:szCs w:val="22"/>
        </w:rPr>
        <w:endnoteRef/>
      </w:r>
      <w:r w:rsidR="007F270D" w:rsidRPr="00454333">
        <w:rPr>
          <w:color w:val="76923C" w:themeColor="accent3" w:themeShade="BF"/>
          <w:sz w:val="22"/>
          <w:szCs w:val="22"/>
        </w:rPr>
        <w:t xml:space="preserve"> </w:t>
      </w:r>
      <w:r w:rsidR="00694E31">
        <w:rPr>
          <w:sz w:val="22"/>
          <w:szCs w:val="22"/>
        </w:rPr>
        <w:t>InstantAtlas Warwickshire</w:t>
      </w:r>
    </w:p>
    <w:p w14:paraId="268C6B08" w14:textId="77777777" w:rsidR="00694E31" w:rsidRPr="00454333" w:rsidRDefault="004A23DC" w:rsidP="00694E31">
      <w:pPr>
        <w:pStyle w:val="EndnoteText"/>
        <w:rPr>
          <w:color w:val="76923C" w:themeColor="accent3" w:themeShade="BF"/>
          <w:sz w:val="22"/>
          <w:szCs w:val="22"/>
        </w:rPr>
      </w:pPr>
      <w:hyperlink r:id="rId13" w:anchor="/view-report/999023d8d7094ce6adedb825996c67ce/E07000221/G2" w:history="1">
        <w:r w:rsidR="00694E31" w:rsidRPr="00454333">
          <w:rPr>
            <w:rStyle w:val="Hyperlink"/>
            <w:color w:val="76923C" w:themeColor="accent3" w:themeShade="BF"/>
          </w:rPr>
          <w:t>Housing - LTLA | Stratford-on-Avon | InstantAtlas Reports (warwickshire.gov.uk)</w:t>
        </w:r>
      </w:hyperlink>
      <w:r w:rsidR="00694E31" w:rsidRPr="00454333">
        <w:rPr>
          <w:color w:val="76923C" w:themeColor="accent3" w:themeShade="BF"/>
          <w:sz w:val="22"/>
          <w:szCs w:val="22"/>
        </w:rPr>
        <w:t xml:space="preserve"> </w:t>
      </w:r>
    </w:p>
    <w:p w14:paraId="3826B284" w14:textId="77777777" w:rsidR="00027E75" w:rsidRPr="00217793" w:rsidRDefault="00027E75" w:rsidP="00694E31">
      <w:pPr>
        <w:pStyle w:val="EndnoteText"/>
        <w:ind w:left="0" w:firstLine="0"/>
        <w:rPr>
          <w:sz w:val="22"/>
          <w:szCs w:val="22"/>
        </w:rPr>
      </w:pPr>
    </w:p>
  </w:endnote>
  <w:endnote w:id="15">
    <w:p w14:paraId="4403CCD7" w14:textId="77777777" w:rsidR="00694E31" w:rsidRDefault="00513EB3" w:rsidP="00694E31">
      <w:pPr>
        <w:pStyle w:val="EndnoteText"/>
        <w:ind w:left="0" w:firstLine="0"/>
        <w:rPr>
          <w:sz w:val="22"/>
          <w:szCs w:val="22"/>
        </w:rPr>
      </w:pPr>
      <w:r>
        <w:rPr>
          <w:rStyle w:val="EndnoteReference"/>
        </w:rPr>
        <w:endnoteRef/>
      </w:r>
      <w:r>
        <w:t xml:space="preserve"> </w:t>
      </w:r>
      <w:r w:rsidR="00694E31">
        <w:rPr>
          <w:sz w:val="22"/>
          <w:szCs w:val="22"/>
        </w:rPr>
        <w:t>InstantAtlas Warwickshire</w:t>
      </w:r>
    </w:p>
    <w:p w14:paraId="60D6403A" w14:textId="77777777" w:rsidR="00694E31" w:rsidRPr="00454333" w:rsidRDefault="004A23DC" w:rsidP="00694E31">
      <w:pPr>
        <w:pStyle w:val="EndnoteText"/>
        <w:rPr>
          <w:color w:val="76923C" w:themeColor="accent3" w:themeShade="BF"/>
          <w:sz w:val="22"/>
          <w:szCs w:val="22"/>
        </w:rPr>
      </w:pPr>
      <w:hyperlink r:id="rId14" w:anchor="/view-report/999023d8d7094ce6adedb825996c67ce/E07000221/G2" w:history="1">
        <w:r w:rsidR="00694E31" w:rsidRPr="00454333">
          <w:rPr>
            <w:rStyle w:val="Hyperlink"/>
            <w:color w:val="76923C" w:themeColor="accent3" w:themeShade="BF"/>
          </w:rPr>
          <w:t>Housing - LTLA | Stratford-on-Avon | InstantAtlas Reports (warwickshire.gov.uk)</w:t>
        </w:r>
      </w:hyperlink>
      <w:r w:rsidR="00694E31" w:rsidRPr="00454333">
        <w:rPr>
          <w:color w:val="76923C" w:themeColor="accent3" w:themeShade="BF"/>
          <w:sz w:val="22"/>
          <w:szCs w:val="22"/>
        </w:rPr>
        <w:t xml:space="preserve"> </w:t>
      </w:r>
    </w:p>
    <w:p w14:paraId="125146F3" w14:textId="166ACF09" w:rsidR="006A55D7" w:rsidRPr="00454333" w:rsidRDefault="006A55D7" w:rsidP="00694E31">
      <w:pPr>
        <w:pStyle w:val="EndnoteText"/>
        <w:rPr>
          <w:color w:val="76923C" w:themeColor="accent3" w:themeShade="BF"/>
          <w:sz w:val="22"/>
          <w:szCs w:val="22"/>
        </w:rPr>
      </w:pPr>
    </w:p>
    <w:p w14:paraId="6CAA55B5" w14:textId="6676529F" w:rsidR="00513EB3" w:rsidRDefault="00513EB3" w:rsidP="00694E31">
      <w:pPr>
        <w:pStyle w:val="EndnoteText"/>
        <w:ind w:left="0" w:firstLine="0"/>
      </w:pPr>
    </w:p>
  </w:endnote>
  <w:endnote w:id="16">
    <w:p w14:paraId="4EC23072" w14:textId="77777777" w:rsidR="006A55D7" w:rsidRDefault="006A55D7" w:rsidP="006A55D7">
      <w:pPr>
        <w:pStyle w:val="EndnoteText"/>
        <w:rPr>
          <w:sz w:val="22"/>
          <w:szCs w:val="22"/>
        </w:rPr>
      </w:pPr>
      <w:r>
        <w:rPr>
          <w:rStyle w:val="EndnoteReference"/>
        </w:rPr>
        <w:endnoteRef/>
      </w:r>
      <w:r>
        <w:t xml:space="preserve"> </w:t>
      </w:r>
      <w:r>
        <w:rPr>
          <w:sz w:val="22"/>
          <w:szCs w:val="22"/>
        </w:rPr>
        <w:t>InstantAtlas Warwickshire</w:t>
      </w:r>
    </w:p>
    <w:p w14:paraId="0AC9682C" w14:textId="77777777" w:rsidR="006A55D7" w:rsidRPr="00454333" w:rsidRDefault="004A23DC" w:rsidP="006A55D7">
      <w:pPr>
        <w:pStyle w:val="EndnoteText"/>
        <w:rPr>
          <w:color w:val="76923C" w:themeColor="accent3" w:themeShade="BF"/>
          <w:sz w:val="22"/>
          <w:szCs w:val="22"/>
        </w:rPr>
      </w:pPr>
      <w:hyperlink r:id="rId15" w:anchor="/view-report/999023d8d7094ce6adedb825996c67ce/E07000221/G2" w:history="1">
        <w:r w:rsidR="006A55D7" w:rsidRPr="00454333">
          <w:rPr>
            <w:rStyle w:val="Hyperlink"/>
            <w:color w:val="76923C" w:themeColor="accent3" w:themeShade="BF"/>
          </w:rPr>
          <w:t>Housing - LTLA | Stratford-on-Avon | InstantAtlas Reports (warwickshire.gov.uk)</w:t>
        </w:r>
      </w:hyperlink>
      <w:r w:rsidR="006A55D7" w:rsidRPr="00454333">
        <w:rPr>
          <w:color w:val="76923C" w:themeColor="accent3" w:themeShade="BF"/>
          <w:sz w:val="22"/>
          <w:szCs w:val="22"/>
        </w:rPr>
        <w:t xml:space="preserve"> </w:t>
      </w:r>
    </w:p>
    <w:p w14:paraId="66BA4AA9" w14:textId="127D8CE7" w:rsidR="006A55D7" w:rsidRDefault="006A55D7" w:rsidP="006A55D7">
      <w:pPr>
        <w:pStyle w:val="EndnoteText"/>
        <w:ind w:left="0" w:firstLine="0"/>
      </w:pPr>
    </w:p>
  </w:endnote>
  <w:endnote w:id="17">
    <w:p w14:paraId="0A0CADA7" w14:textId="3237009F" w:rsidR="002C364E" w:rsidRDefault="002C364E">
      <w:pPr>
        <w:pStyle w:val="EndnoteText"/>
        <w:rPr>
          <w:sz w:val="22"/>
          <w:szCs w:val="22"/>
        </w:rPr>
      </w:pPr>
      <w:r w:rsidRPr="00217793">
        <w:rPr>
          <w:rStyle w:val="EndnoteReference"/>
          <w:sz w:val="22"/>
          <w:szCs w:val="22"/>
        </w:rPr>
        <w:endnoteRef/>
      </w:r>
      <w:r w:rsidRPr="00217793">
        <w:rPr>
          <w:sz w:val="22"/>
          <w:szCs w:val="22"/>
        </w:rPr>
        <w:t xml:space="preserve"> </w:t>
      </w:r>
      <w:r w:rsidR="005362B2">
        <w:rPr>
          <w:sz w:val="22"/>
          <w:szCs w:val="22"/>
        </w:rPr>
        <w:t xml:space="preserve">Stratford-on-Avon District Council </w:t>
      </w:r>
    </w:p>
    <w:p w14:paraId="4890C369" w14:textId="280B265E" w:rsidR="00807817" w:rsidRPr="00807817" w:rsidRDefault="004A23DC">
      <w:pPr>
        <w:pStyle w:val="EndnoteText"/>
        <w:rPr>
          <w:color w:val="76923C" w:themeColor="accent3" w:themeShade="BF"/>
          <w:sz w:val="22"/>
          <w:szCs w:val="22"/>
        </w:rPr>
      </w:pPr>
      <w:hyperlink r:id="rId16" w:history="1">
        <w:r w:rsidR="00807817" w:rsidRPr="00807817">
          <w:rPr>
            <w:rStyle w:val="Hyperlink"/>
            <w:color w:val="76923C" w:themeColor="accent3" w:themeShade="BF"/>
          </w:rPr>
          <w:t>AMR 2020-21. (stratford.gov.uk)</w:t>
        </w:r>
      </w:hyperlink>
    </w:p>
    <w:p w14:paraId="2766AAC3" w14:textId="77777777" w:rsidR="006A55D7" w:rsidRPr="00217793" w:rsidRDefault="006A55D7">
      <w:pPr>
        <w:pStyle w:val="EndnoteText"/>
        <w:rPr>
          <w:sz w:val="22"/>
          <w:szCs w:val="22"/>
        </w:rPr>
      </w:pPr>
    </w:p>
  </w:endnote>
  <w:endnote w:id="18">
    <w:p w14:paraId="628ADE27" w14:textId="031FA044" w:rsidR="00634A3F" w:rsidRDefault="00634A3F">
      <w:pPr>
        <w:pStyle w:val="EndnoteText"/>
        <w:rPr>
          <w:sz w:val="22"/>
          <w:szCs w:val="22"/>
        </w:rPr>
      </w:pPr>
      <w:r>
        <w:rPr>
          <w:rStyle w:val="EndnoteReference"/>
        </w:rPr>
        <w:endnoteRef/>
      </w:r>
      <w:r>
        <w:t xml:space="preserve"> </w:t>
      </w:r>
      <w:r w:rsidR="006A55D7">
        <w:rPr>
          <w:sz w:val="22"/>
          <w:szCs w:val="22"/>
        </w:rPr>
        <w:t xml:space="preserve">Stratford-on-Avon District Council </w:t>
      </w:r>
    </w:p>
    <w:p w14:paraId="1D2B3389" w14:textId="6FD45D16" w:rsidR="00807817" w:rsidRPr="00807817" w:rsidRDefault="004A23DC">
      <w:pPr>
        <w:pStyle w:val="EndnoteText"/>
        <w:rPr>
          <w:color w:val="76923C" w:themeColor="accent3" w:themeShade="BF"/>
          <w:sz w:val="22"/>
          <w:szCs w:val="22"/>
        </w:rPr>
      </w:pPr>
      <w:hyperlink r:id="rId17" w:history="1">
        <w:r w:rsidR="00807817" w:rsidRPr="00807817">
          <w:rPr>
            <w:rStyle w:val="Hyperlink"/>
            <w:color w:val="76923C" w:themeColor="accent3" w:themeShade="BF"/>
          </w:rPr>
          <w:t>AMR 2020-21. (stratford.gov.uk)</w:t>
        </w:r>
      </w:hyperlink>
    </w:p>
    <w:p w14:paraId="2CF4512E" w14:textId="77777777" w:rsidR="006A55D7" w:rsidRDefault="006A55D7">
      <w:pPr>
        <w:pStyle w:val="EndnoteText"/>
      </w:pPr>
    </w:p>
  </w:endnote>
  <w:endnote w:id="19">
    <w:p w14:paraId="17E8787F" w14:textId="21A4B22A" w:rsidR="00634A3F" w:rsidRDefault="00634A3F">
      <w:pPr>
        <w:pStyle w:val="EndnoteText"/>
        <w:rPr>
          <w:sz w:val="22"/>
          <w:szCs w:val="22"/>
        </w:rPr>
      </w:pPr>
      <w:r>
        <w:rPr>
          <w:rStyle w:val="EndnoteReference"/>
        </w:rPr>
        <w:endnoteRef/>
      </w:r>
      <w:r>
        <w:t xml:space="preserve"> </w:t>
      </w:r>
      <w:r w:rsidR="006A55D7">
        <w:rPr>
          <w:sz w:val="22"/>
          <w:szCs w:val="22"/>
        </w:rPr>
        <w:t xml:space="preserve">Stratford-on-Avon District Council </w:t>
      </w:r>
    </w:p>
    <w:p w14:paraId="026FA488" w14:textId="3363CCDB" w:rsidR="00807817" w:rsidRPr="00807817" w:rsidRDefault="004A23DC">
      <w:pPr>
        <w:pStyle w:val="EndnoteText"/>
        <w:rPr>
          <w:color w:val="76923C" w:themeColor="accent3" w:themeShade="BF"/>
          <w:sz w:val="22"/>
          <w:szCs w:val="22"/>
        </w:rPr>
      </w:pPr>
      <w:hyperlink r:id="rId18" w:history="1">
        <w:r w:rsidR="00807817" w:rsidRPr="00807817">
          <w:rPr>
            <w:rStyle w:val="Hyperlink"/>
            <w:color w:val="76923C" w:themeColor="accent3" w:themeShade="BF"/>
          </w:rPr>
          <w:t>AMR 2020-21. (stratford.gov.uk)</w:t>
        </w:r>
      </w:hyperlink>
    </w:p>
    <w:p w14:paraId="740D8CBA" w14:textId="77777777" w:rsidR="006A55D7" w:rsidRDefault="006A55D7">
      <w:pPr>
        <w:pStyle w:val="EndnoteText"/>
      </w:pPr>
    </w:p>
  </w:endnote>
  <w:endnote w:id="20">
    <w:p w14:paraId="3392CEC0" w14:textId="4653BFA9" w:rsidR="00634A3F" w:rsidRDefault="00634A3F">
      <w:pPr>
        <w:pStyle w:val="EndnoteText"/>
        <w:rPr>
          <w:sz w:val="22"/>
          <w:szCs w:val="22"/>
        </w:rPr>
      </w:pPr>
      <w:r>
        <w:rPr>
          <w:rStyle w:val="EndnoteReference"/>
        </w:rPr>
        <w:endnoteRef/>
      </w:r>
      <w:r>
        <w:t xml:space="preserve"> </w:t>
      </w:r>
      <w:r w:rsidR="006A55D7">
        <w:rPr>
          <w:sz w:val="22"/>
          <w:szCs w:val="22"/>
        </w:rPr>
        <w:t xml:space="preserve">Stratford-on-Avon District Council </w:t>
      </w:r>
    </w:p>
    <w:p w14:paraId="3BFCE192" w14:textId="161722A1" w:rsidR="00807817" w:rsidRPr="00807817" w:rsidRDefault="004A23DC">
      <w:pPr>
        <w:pStyle w:val="EndnoteText"/>
        <w:rPr>
          <w:color w:val="76923C" w:themeColor="accent3" w:themeShade="BF"/>
          <w:sz w:val="22"/>
          <w:szCs w:val="22"/>
        </w:rPr>
      </w:pPr>
      <w:hyperlink r:id="rId19" w:history="1">
        <w:r w:rsidR="00807817" w:rsidRPr="00807817">
          <w:rPr>
            <w:rStyle w:val="Hyperlink"/>
            <w:color w:val="76923C" w:themeColor="accent3" w:themeShade="BF"/>
          </w:rPr>
          <w:t>AMR 2020-21. (stratford.gov.uk)</w:t>
        </w:r>
      </w:hyperlink>
    </w:p>
    <w:p w14:paraId="4358A0B0" w14:textId="77777777" w:rsidR="00027E75" w:rsidRDefault="00027E75">
      <w:pPr>
        <w:pStyle w:val="EndnoteText"/>
      </w:pPr>
    </w:p>
  </w:endnote>
  <w:endnote w:id="21">
    <w:p w14:paraId="236EA74D" w14:textId="2F466319" w:rsidR="002C364E" w:rsidRDefault="002C364E">
      <w:pPr>
        <w:pStyle w:val="EndnoteText"/>
        <w:rPr>
          <w:sz w:val="22"/>
          <w:szCs w:val="22"/>
        </w:rPr>
      </w:pPr>
      <w:r w:rsidRPr="00217793">
        <w:rPr>
          <w:rStyle w:val="EndnoteReference"/>
          <w:sz w:val="22"/>
          <w:szCs w:val="22"/>
        </w:rPr>
        <w:endnoteRef/>
      </w:r>
      <w:r w:rsidRPr="00217793">
        <w:rPr>
          <w:sz w:val="22"/>
          <w:szCs w:val="22"/>
        </w:rPr>
        <w:t xml:space="preserve"> </w:t>
      </w:r>
      <w:r w:rsidR="00495706">
        <w:rPr>
          <w:sz w:val="22"/>
          <w:szCs w:val="22"/>
        </w:rPr>
        <w:t>InstantAtlas Warwickshire</w:t>
      </w:r>
    </w:p>
    <w:p w14:paraId="42C632D5" w14:textId="415543C5" w:rsidR="00B05333" w:rsidRDefault="004A23DC">
      <w:pPr>
        <w:pStyle w:val="EndnoteText"/>
        <w:rPr>
          <w:color w:val="76923C" w:themeColor="accent3" w:themeShade="BF"/>
        </w:rPr>
      </w:pPr>
      <w:hyperlink r:id="rId20" w:anchor="/view-report/23c3da46cc1f47e895b7a7fe319c503a/E07000221/G2" w:history="1">
        <w:r w:rsidR="00B05333" w:rsidRPr="00B05333">
          <w:rPr>
            <w:rStyle w:val="Hyperlink"/>
            <w:color w:val="76923C" w:themeColor="accent3" w:themeShade="BF"/>
          </w:rPr>
          <w:t>Warwickshire - Crime - District | Stratford-on-Avon | InstantAtlas Reports</w:t>
        </w:r>
      </w:hyperlink>
    </w:p>
    <w:p w14:paraId="58021632" w14:textId="77777777" w:rsidR="00B05333" w:rsidRPr="00217793" w:rsidRDefault="00B05333">
      <w:pPr>
        <w:pStyle w:val="EndnoteText"/>
        <w:rPr>
          <w:sz w:val="22"/>
          <w:szCs w:val="22"/>
        </w:rPr>
      </w:pPr>
    </w:p>
  </w:endnote>
  <w:endnote w:id="22">
    <w:p w14:paraId="25F400B5" w14:textId="77777777" w:rsidR="00B05333" w:rsidRDefault="00D6372B" w:rsidP="00B05333">
      <w:pPr>
        <w:pStyle w:val="EndnoteText"/>
        <w:rPr>
          <w:sz w:val="22"/>
          <w:szCs w:val="22"/>
        </w:rPr>
      </w:pPr>
      <w:r>
        <w:rPr>
          <w:rStyle w:val="EndnoteReference"/>
        </w:rPr>
        <w:endnoteRef/>
      </w:r>
      <w:r>
        <w:t xml:space="preserve"> </w:t>
      </w:r>
      <w:r w:rsidR="00B05333">
        <w:rPr>
          <w:sz w:val="22"/>
          <w:szCs w:val="22"/>
        </w:rPr>
        <w:t>InstantAtlas Warwickshire</w:t>
      </w:r>
    </w:p>
    <w:p w14:paraId="1CCBF2ED" w14:textId="77777777" w:rsidR="00B05333" w:rsidRDefault="004A23DC" w:rsidP="00B05333">
      <w:pPr>
        <w:pStyle w:val="EndnoteText"/>
        <w:rPr>
          <w:color w:val="76923C" w:themeColor="accent3" w:themeShade="BF"/>
        </w:rPr>
      </w:pPr>
      <w:hyperlink r:id="rId21" w:anchor="/view-report/23c3da46cc1f47e895b7a7fe319c503a/E07000221/G2" w:history="1">
        <w:r w:rsidR="00B05333" w:rsidRPr="00B05333">
          <w:rPr>
            <w:rStyle w:val="Hyperlink"/>
            <w:color w:val="76923C" w:themeColor="accent3" w:themeShade="BF"/>
          </w:rPr>
          <w:t>Warwickshire - Crime - District | Stratford-on-Avon | InstantAtlas Reports</w:t>
        </w:r>
      </w:hyperlink>
    </w:p>
    <w:p w14:paraId="72290476" w14:textId="57333966" w:rsidR="00D6372B" w:rsidRDefault="00D6372B">
      <w:pPr>
        <w:pStyle w:val="EndnoteText"/>
      </w:pPr>
    </w:p>
  </w:endnote>
  <w:endnote w:id="23">
    <w:p w14:paraId="67150153" w14:textId="78110538" w:rsidR="002C364E" w:rsidRDefault="002C364E" w:rsidP="004E4314">
      <w:pPr>
        <w:pStyle w:val="EndnoteText"/>
      </w:pPr>
      <w:r w:rsidRPr="00217793">
        <w:rPr>
          <w:rStyle w:val="EndnoteReference"/>
          <w:sz w:val="22"/>
          <w:szCs w:val="22"/>
        </w:rPr>
        <w:endnoteRef/>
      </w:r>
      <w:r w:rsidRPr="00217793">
        <w:rPr>
          <w:sz w:val="22"/>
          <w:szCs w:val="22"/>
        </w:rPr>
        <w:t xml:space="preserve"> </w:t>
      </w:r>
      <w:r w:rsidR="00EF482E" w:rsidRPr="00E02851">
        <w:rPr>
          <w:sz w:val="22"/>
          <w:szCs w:val="22"/>
        </w:rPr>
        <w:t xml:space="preserve">Nomis </w:t>
      </w:r>
    </w:p>
    <w:p w14:paraId="4FA6EFAA" w14:textId="515E2346" w:rsidR="000A3444" w:rsidRDefault="004A23DC" w:rsidP="004E4314">
      <w:pPr>
        <w:pStyle w:val="EndnoteText"/>
        <w:rPr>
          <w:color w:val="76923C" w:themeColor="accent3" w:themeShade="BF"/>
        </w:rPr>
      </w:pPr>
      <w:hyperlink r:id="rId22" w:history="1">
        <w:r w:rsidR="000A3444" w:rsidRPr="000A3444">
          <w:rPr>
            <w:rStyle w:val="Hyperlink"/>
            <w:color w:val="76923C" w:themeColor="accent3" w:themeShade="BF"/>
          </w:rPr>
          <w:t>Labour Market Profile - Nomis - Official Census and Labour Market Statistics (nomisweb.co.uk)</w:t>
        </w:r>
      </w:hyperlink>
    </w:p>
    <w:p w14:paraId="4ADBBBC8" w14:textId="77777777" w:rsidR="00E02851" w:rsidRPr="00217793" w:rsidRDefault="00E02851" w:rsidP="004E4314">
      <w:pPr>
        <w:pStyle w:val="EndnoteText"/>
        <w:rPr>
          <w:sz w:val="22"/>
          <w:szCs w:val="22"/>
        </w:rPr>
      </w:pPr>
    </w:p>
  </w:endnote>
  <w:endnote w:id="24">
    <w:p w14:paraId="19744AD6" w14:textId="40022849" w:rsidR="0029400C" w:rsidRDefault="0029400C">
      <w:pPr>
        <w:pStyle w:val="EndnoteText"/>
      </w:pPr>
      <w:r>
        <w:rPr>
          <w:rStyle w:val="EndnoteReference"/>
        </w:rPr>
        <w:endnoteRef/>
      </w:r>
      <w:r>
        <w:t xml:space="preserve"> </w:t>
      </w:r>
      <w:r w:rsidR="00EF482E" w:rsidRPr="00E02851">
        <w:rPr>
          <w:sz w:val="22"/>
          <w:szCs w:val="22"/>
        </w:rPr>
        <w:t xml:space="preserve">Nomis </w:t>
      </w:r>
    </w:p>
    <w:p w14:paraId="1F9EAB7F" w14:textId="10EC12F4" w:rsidR="00E02851" w:rsidRDefault="004A23DC">
      <w:pPr>
        <w:pStyle w:val="EndnoteText"/>
        <w:rPr>
          <w:color w:val="76923C" w:themeColor="accent3" w:themeShade="BF"/>
        </w:rPr>
      </w:pPr>
      <w:hyperlink r:id="rId23" w:history="1">
        <w:r w:rsidR="00E02851" w:rsidRPr="000A3444">
          <w:rPr>
            <w:rStyle w:val="Hyperlink"/>
            <w:color w:val="76923C" w:themeColor="accent3" w:themeShade="BF"/>
          </w:rPr>
          <w:t>Labour Market Profile - Nomis - Official Census and Labour Market Statistics (nomisweb.co.uk)</w:t>
        </w:r>
      </w:hyperlink>
    </w:p>
    <w:p w14:paraId="572A50EE" w14:textId="77777777" w:rsidR="00E02851" w:rsidRDefault="00E02851">
      <w:pPr>
        <w:pStyle w:val="EndnoteText"/>
      </w:pPr>
    </w:p>
  </w:endnote>
  <w:endnote w:id="25">
    <w:p w14:paraId="0A316FD9" w14:textId="2DD04493" w:rsidR="00E02851" w:rsidRDefault="008E7D7D">
      <w:pPr>
        <w:pStyle w:val="EndnoteText"/>
      </w:pPr>
      <w:r>
        <w:rPr>
          <w:rStyle w:val="EndnoteReference"/>
        </w:rPr>
        <w:endnoteRef/>
      </w:r>
      <w:r>
        <w:t xml:space="preserve"> </w:t>
      </w:r>
      <w:r w:rsidR="008660AE" w:rsidRPr="00E02851">
        <w:rPr>
          <w:sz w:val="22"/>
          <w:szCs w:val="22"/>
        </w:rPr>
        <w:t>Nomis</w:t>
      </w:r>
      <w:r w:rsidR="00D76C3D" w:rsidRPr="00E02851">
        <w:rPr>
          <w:sz w:val="22"/>
          <w:szCs w:val="22"/>
        </w:rPr>
        <w:t xml:space="preserve"> </w:t>
      </w:r>
    </w:p>
    <w:p w14:paraId="48C04A23" w14:textId="48609A0D" w:rsidR="00E02851" w:rsidRDefault="004A23DC">
      <w:pPr>
        <w:pStyle w:val="EndnoteText"/>
        <w:rPr>
          <w:color w:val="76923C" w:themeColor="accent3" w:themeShade="BF"/>
        </w:rPr>
      </w:pPr>
      <w:hyperlink r:id="rId24" w:history="1">
        <w:r w:rsidR="00E02851" w:rsidRPr="000A3444">
          <w:rPr>
            <w:rStyle w:val="Hyperlink"/>
            <w:color w:val="76923C" w:themeColor="accent3" w:themeShade="BF"/>
          </w:rPr>
          <w:t>Labour Market Profile - Nomis - Official Census and Labour Market Statistics (nomisweb.co.uk)</w:t>
        </w:r>
      </w:hyperlink>
    </w:p>
    <w:p w14:paraId="2E6F1F50" w14:textId="77777777" w:rsidR="00E02851" w:rsidRDefault="00E02851">
      <w:pPr>
        <w:pStyle w:val="EndnoteText"/>
      </w:pPr>
    </w:p>
  </w:endnote>
  <w:endnote w:id="26">
    <w:p w14:paraId="10BBAD65" w14:textId="77777777" w:rsidR="00E02851" w:rsidRDefault="00D846FC" w:rsidP="00E02851">
      <w:pPr>
        <w:pStyle w:val="EndnoteText"/>
      </w:pPr>
      <w:r>
        <w:rPr>
          <w:rStyle w:val="EndnoteReference"/>
        </w:rPr>
        <w:endnoteRef/>
      </w:r>
      <w:r>
        <w:t xml:space="preserve"> </w:t>
      </w:r>
      <w:r w:rsidR="00E02851" w:rsidRPr="00E02851">
        <w:rPr>
          <w:sz w:val="22"/>
          <w:szCs w:val="22"/>
        </w:rPr>
        <w:t xml:space="preserve">Nomis </w:t>
      </w:r>
    </w:p>
    <w:p w14:paraId="0AF7B6D0" w14:textId="77777777" w:rsidR="00E02851" w:rsidRDefault="004A23DC" w:rsidP="00E02851">
      <w:pPr>
        <w:pStyle w:val="EndnoteText"/>
        <w:rPr>
          <w:color w:val="76923C" w:themeColor="accent3" w:themeShade="BF"/>
        </w:rPr>
      </w:pPr>
      <w:hyperlink r:id="rId25" w:history="1">
        <w:r w:rsidR="00E02851" w:rsidRPr="000A3444">
          <w:rPr>
            <w:rStyle w:val="Hyperlink"/>
            <w:color w:val="76923C" w:themeColor="accent3" w:themeShade="BF"/>
          </w:rPr>
          <w:t>Labour Market Profile - Nomis - Official Census and Labour Market Statistics (nomisweb.co.uk)</w:t>
        </w:r>
      </w:hyperlink>
    </w:p>
    <w:p w14:paraId="1D169939" w14:textId="5C2D091A" w:rsidR="00D846FC" w:rsidRDefault="00D846FC">
      <w:pPr>
        <w:pStyle w:val="EndnoteText"/>
      </w:pPr>
    </w:p>
  </w:endnote>
  <w:endnote w:id="27">
    <w:p w14:paraId="3C455C45" w14:textId="77777777" w:rsidR="00E02851" w:rsidRDefault="008660AE" w:rsidP="00E02851">
      <w:pPr>
        <w:pStyle w:val="EndnoteText"/>
      </w:pPr>
      <w:r>
        <w:rPr>
          <w:rStyle w:val="EndnoteReference"/>
        </w:rPr>
        <w:endnoteRef/>
      </w:r>
      <w:r>
        <w:t xml:space="preserve"> </w:t>
      </w:r>
      <w:r w:rsidR="00E02851" w:rsidRPr="00E02851">
        <w:rPr>
          <w:sz w:val="22"/>
          <w:szCs w:val="22"/>
        </w:rPr>
        <w:t xml:space="preserve">Nomis </w:t>
      </w:r>
    </w:p>
    <w:p w14:paraId="4BF1A333" w14:textId="77777777" w:rsidR="00E02851" w:rsidRDefault="004A23DC" w:rsidP="00E02851">
      <w:pPr>
        <w:pStyle w:val="EndnoteText"/>
        <w:rPr>
          <w:color w:val="76923C" w:themeColor="accent3" w:themeShade="BF"/>
        </w:rPr>
      </w:pPr>
      <w:hyperlink r:id="rId26" w:history="1">
        <w:r w:rsidR="00E02851" w:rsidRPr="000A3444">
          <w:rPr>
            <w:rStyle w:val="Hyperlink"/>
            <w:color w:val="76923C" w:themeColor="accent3" w:themeShade="BF"/>
          </w:rPr>
          <w:t>Labour Market Profile - Nomis - Official Census and Labour Market Statistics (nomisweb.co.uk)</w:t>
        </w:r>
      </w:hyperlink>
    </w:p>
    <w:p w14:paraId="7C3EA6EE" w14:textId="100EB718" w:rsidR="008660AE" w:rsidRDefault="008660AE">
      <w:pPr>
        <w:pStyle w:val="EndnoteText"/>
      </w:pPr>
    </w:p>
  </w:endnote>
  <w:endnote w:id="28">
    <w:p w14:paraId="64272229" w14:textId="77777777" w:rsidR="006A635E" w:rsidRDefault="004F0639" w:rsidP="006A635E">
      <w:pPr>
        <w:pStyle w:val="EndnoteText"/>
      </w:pPr>
      <w:r>
        <w:rPr>
          <w:rStyle w:val="EndnoteReference"/>
        </w:rPr>
        <w:endnoteRef/>
      </w:r>
      <w:r>
        <w:t xml:space="preserve"> </w:t>
      </w:r>
      <w:r w:rsidR="006A635E" w:rsidRPr="00E02851">
        <w:rPr>
          <w:sz w:val="22"/>
          <w:szCs w:val="22"/>
        </w:rPr>
        <w:t xml:space="preserve">Nomis </w:t>
      </w:r>
    </w:p>
    <w:p w14:paraId="4C5679A0" w14:textId="77777777" w:rsidR="006A635E" w:rsidRDefault="004A23DC" w:rsidP="006A635E">
      <w:pPr>
        <w:pStyle w:val="EndnoteText"/>
        <w:rPr>
          <w:color w:val="76923C" w:themeColor="accent3" w:themeShade="BF"/>
        </w:rPr>
      </w:pPr>
      <w:hyperlink r:id="rId27" w:history="1">
        <w:r w:rsidR="006A635E" w:rsidRPr="000A3444">
          <w:rPr>
            <w:rStyle w:val="Hyperlink"/>
            <w:color w:val="76923C" w:themeColor="accent3" w:themeShade="BF"/>
          </w:rPr>
          <w:t>Labour Market Profile - Nomis - Official Census and Labour Market Statistics (nomisweb.co.uk)</w:t>
        </w:r>
      </w:hyperlink>
    </w:p>
    <w:p w14:paraId="72F850AF" w14:textId="2C84DD32" w:rsidR="00B02D0C" w:rsidRPr="004F0639" w:rsidRDefault="00B02D0C" w:rsidP="006A635E">
      <w:pPr>
        <w:pStyle w:val="EndnoteText"/>
        <w:rPr>
          <w:iCs/>
        </w:rPr>
      </w:pPr>
    </w:p>
  </w:endnote>
  <w:endnote w:id="29">
    <w:p w14:paraId="7CEE4CE6" w14:textId="3881376F" w:rsidR="00FD25D8" w:rsidRDefault="00FD25D8">
      <w:pPr>
        <w:pStyle w:val="EndnoteText"/>
      </w:pPr>
      <w:r>
        <w:rPr>
          <w:rStyle w:val="EndnoteReference"/>
        </w:rPr>
        <w:endnoteRef/>
      </w:r>
      <w:r>
        <w:t xml:space="preserve"> ONS </w:t>
      </w:r>
    </w:p>
    <w:p w14:paraId="28EDA066" w14:textId="29A07192" w:rsidR="00505EE6" w:rsidRDefault="004A23DC" w:rsidP="00694E31">
      <w:pPr>
        <w:pStyle w:val="EndnoteText"/>
        <w:rPr>
          <w:color w:val="76923C" w:themeColor="accent3" w:themeShade="BF"/>
        </w:rPr>
      </w:pPr>
      <w:hyperlink r:id="rId28" w:history="1">
        <w:r w:rsidR="00505EE6" w:rsidRPr="00505EE6">
          <w:rPr>
            <w:rStyle w:val="Hyperlink"/>
            <w:color w:val="76923C" w:themeColor="accent3" w:themeShade="BF"/>
          </w:rPr>
          <w:t>Regional gross value added (balanced) by industry: all ITL regions - Office for National Statistics</w:t>
        </w:r>
      </w:hyperlink>
    </w:p>
    <w:p w14:paraId="0B31C02A" w14:textId="0EA5C1BC" w:rsidR="00694E31" w:rsidRDefault="00694E31" w:rsidP="00694E31">
      <w:pPr>
        <w:pStyle w:val="EndnoteText"/>
        <w:rPr>
          <w:color w:val="76923C" w:themeColor="accent3" w:themeShade="BF"/>
        </w:rPr>
      </w:pPr>
    </w:p>
    <w:p w14:paraId="0805FECD" w14:textId="690CA61C" w:rsidR="00694E31" w:rsidRDefault="00694E31" w:rsidP="00694E31">
      <w:pPr>
        <w:pStyle w:val="EndnoteText"/>
        <w:rPr>
          <w:color w:val="76923C" w:themeColor="accent3" w:themeShade="BF"/>
        </w:rPr>
      </w:pPr>
    </w:p>
    <w:p w14:paraId="254D5D62" w14:textId="77777777" w:rsidR="00694E31" w:rsidRPr="00694E31" w:rsidRDefault="00694E31" w:rsidP="00694E31">
      <w:pPr>
        <w:pStyle w:val="EndnoteText"/>
        <w:rPr>
          <w:color w:val="76923C" w:themeColor="accent3" w:themeShade="BF"/>
        </w:rPr>
      </w:pPr>
    </w:p>
  </w:endnote>
  <w:endnote w:id="30">
    <w:p w14:paraId="7B55FB36" w14:textId="77777777" w:rsidR="00694E31" w:rsidRDefault="002C364E" w:rsidP="00B71C8A">
      <w:pPr>
        <w:pStyle w:val="EndnoteText"/>
        <w:rPr>
          <w:sz w:val="22"/>
          <w:szCs w:val="22"/>
        </w:rPr>
      </w:pPr>
      <w:r w:rsidRPr="00217793">
        <w:rPr>
          <w:rStyle w:val="EndnoteReference"/>
          <w:sz w:val="22"/>
          <w:szCs w:val="22"/>
        </w:rPr>
        <w:endnoteRef/>
      </w:r>
      <w:r w:rsidRPr="00217793">
        <w:rPr>
          <w:sz w:val="22"/>
          <w:szCs w:val="22"/>
        </w:rPr>
        <w:t xml:space="preserve"> </w:t>
      </w:r>
      <w:r w:rsidR="00B71C8A" w:rsidRPr="00E02851">
        <w:rPr>
          <w:sz w:val="22"/>
          <w:szCs w:val="22"/>
        </w:rPr>
        <w:t>Nomis</w:t>
      </w:r>
    </w:p>
    <w:p w14:paraId="09C6BD69" w14:textId="1439754E" w:rsidR="00B71C8A" w:rsidRDefault="004A23DC" w:rsidP="00B71C8A">
      <w:pPr>
        <w:pStyle w:val="EndnoteText"/>
        <w:rPr>
          <w:color w:val="76923C" w:themeColor="accent3" w:themeShade="BF"/>
        </w:rPr>
      </w:pPr>
      <w:hyperlink r:id="rId29" w:history="1">
        <w:r w:rsidR="00B71C8A" w:rsidRPr="000A3444">
          <w:rPr>
            <w:rStyle w:val="Hyperlink"/>
            <w:color w:val="76923C" w:themeColor="accent3" w:themeShade="BF"/>
          </w:rPr>
          <w:t>Labour Market Profile - Nomis - Official Census and Labour Market Statistics (nomisweb.co.uk)</w:t>
        </w:r>
      </w:hyperlink>
    </w:p>
    <w:p w14:paraId="2BE0AA84" w14:textId="285D14F3" w:rsidR="002C364E" w:rsidRPr="00217793" w:rsidRDefault="002C364E">
      <w:pPr>
        <w:pStyle w:val="EndnoteText"/>
        <w:rPr>
          <w:sz w:val="22"/>
          <w:szCs w:val="22"/>
        </w:rPr>
      </w:pPr>
    </w:p>
  </w:endnote>
  <w:endnote w:id="31">
    <w:p w14:paraId="5E19DCAE" w14:textId="0917AA4E" w:rsidR="009F4A78" w:rsidRDefault="009F4A78">
      <w:pPr>
        <w:pStyle w:val="EndnoteText"/>
      </w:pPr>
      <w:r>
        <w:rPr>
          <w:rStyle w:val="EndnoteReference"/>
        </w:rPr>
        <w:endnoteRef/>
      </w:r>
      <w:r w:rsidRPr="00723BA3">
        <w:rPr>
          <w:sz w:val="22"/>
          <w:szCs w:val="22"/>
        </w:rPr>
        <w:t xml:space="preserve"> LGInform</w:t>
      </w:r>
    </w:p>
    <w:p w14:paraId="05EFB5CC" w14:textId="3311742F" w:rsidR="009F4A78" w:rsidRDefault="004A23DC">
      <w:pPr>
        <w:pStyle w:val="EndnoteText"/>
        <w:rPr>
          <w:color w:val="76923C" w:themeColor="accent3" w:themeShade="BF"/>
        </w:rPr>
      </w:pPr>
      <w:hyperlink r:id="rId30" w:history="1">
        <w:r w:rsidR="009F4A78" w:rsidRPr="009F4A78">
          <w:rPr>
            <w:rStyle w:val="Hyperlink"/>
            <w:color w:val="76923C" w:themeColor="accent3" w:themeShade="BF"/>
          </w:rPr>
          <w:t>Business density (businesses per 10,000 people in Stratford-on-Avon | LG Inform (local.gov.uk)</w:t>
        </w:r>
      </w:hyperlink>
    </w:p>
    <w:p w14:paraId="242CBF61" w14:textId="77777777" w:rsidR="009F4A78" w:rsidRDefault="009F4A78">
      <w:pPr>
        <w:pStyle w:val="EndnoteText"/>
      </w:pPr>
    </w:p>
  </w:endnote>
  <w:endnote w:id="32">
    <w:p w14:paraId="64FA49DD" w14:textId="483CD1EF" w:rsidR="002C364E" w:rsidRDefault="002C364E">
      <w:pPr>
        <w:pStyle w:val="EndnoteText"/>
        <w:rPr>
          <w:sz w:val="22"/>
          <w:szCs w:val="22"/>
        </w:rPr>
      </w:pPr>
      <w:r w:rsidRPr="00217793">
        <w:rPr>
          <w:rStyle w:val="EndnoteReference"/>
          <w:sz w:val="22"/>
          <w:szCs w:val="22"/>
        </w:rPr>
        <w:endnoteRef/>
      </w:r>
      <w:r w:rsidRPr="00217793">
        <w:rPr>
          <w:sz w:val="22"/>
          <w:szCs w:val="22"/>
        </w:rPr>
        <w:t xml:space="preserve"> </w:t>
      </w:r>
      <w:r w:rsidR="000E7B88">
        <w:rPr>
          <w:sz w:val="22"/>
          <w:szCs w:val="22"/>
        </w:rPr>
        <w:t xml:space="preserve">InstantAtlas </w:t>
      </w:r>
    </w:p>
    <w:p w14:paraId="15E5C6D7" w14:textId="2EF008F2" w:rsidR="002226B0" w:rsidRDefault="004A23DC">
      <w:pPr>
        <w:pStyle w:val="EndnoteText"/>
        <w:rPr>
          <w:color w:val="76923C" w:themeColor="accent3" w:themeShade="BF"/>
        </w:rPr>
      </w:pPr>
      <w:hyperlink r:id="rId31" w:anchor="/view-report/215592c79f7843158bc3c89615cf60c4/E07000221/G2" w:history="1">
        <w:r w:rsidR="002226B0" w:rsidRPr="002226B0">
          <w:rPr>
            <w:rStyle w:val="Hyperlink"/>
            <w:color w:val="76923C" w:themeColor="accent3" w:themeShade="BF"/>
          </w:rPr>
          <w:t>Economy - LTLA | Stratford-on-Avon | InstantAtlas Reports (warwickshire.gov.uk)</w:t>
        </w:r>
      </w:hyperlink>
    </w:p>
    <w:p w14:paraId="43E631DE" w14:textId="77777777" w:rsidR="002226B0" w:rsidRPr="00217793" w:rsidRDefault="002226B0">
      <w:pPr>
        <w:pStyle w:val="EndnoteText"/>
        <w:rPr>
          <w:sz w:val="22"/>
          <w:szCs w:val="22"/>
        </w:rPr>
      </w:pPr>
    </w:p>
  </w:endnote>
  <w:endnote w:id="33">
    <w:p w14:paraId="47E0076F" w14:textId="77777777" w:rsidR="002226B0" w:rsidRDefault="00027B7B" w:rsidP="002226B0">
      <w:pPr>
        <w:pStyle w:val="EndnoteText"/>
      </w:pPr>
      <w:r>
        <w:rPr>
          <w:rStyle w:val="EndnoteReference"/>
        </w:rPr>
        <w:endnoteRef/>
      </w:r>
      <w:r>
        <w:t xml:space="preserve"> </w:t>
      </w:r>
      <w:r w:rsidR="002226B0" w:rsidRPr="00723BA3">
        <w:rPr>
          <w:sz w:val="22"/>
          <w:szCs w:val="22"/>
        </w:rPr>
        <w:t xml:space="preserve">Nomis </w:t>
      </w:r>
    </w:p>
    <w:p w14:paraId="7889FF11" w14:textId="77777777" w:rsidR="002226B0" w:rsidRDefault="004A23DC" w:rsidP="002226B0">
      <w:pPr>
        <w:pStyle w:val="EndnoteText"/>
        <w:rPr>
          <w:color w:val="76923C" w:themeColor="accent3" w:themeShade="BF"/>
        </w:rPr>
      </w:pPr>
      <w:hyperlink r:id="rId32" w:history="1">
        <w:r w:rsidR="002226B0" w:rsidRPr="000A3444">
          <w:rPr>
            <w:rStyle w:val="Hyperlink"/>
            <w:color w:val="76923C" w:themeColor="accent3" w:themeShade="BF"/>
          </w:rPr>
          <w:t>Labour Market Profile - Nomis - Official Census and Labour Market Statistics (nomisweb.co.uk)</w:t>
        </w:r>
      </w:hyperlink>
    </w:p>
    <w:p w14:paraId="39AB3EB7" w14:textId="610B35E5" w:rsidR="00027B7B" w:rsidRDefault="00027B7B">
      <w:pPr>
        <w:pStyle w:val="EndnoteText"/>
      </w:pPr>
    </w:p>
  </w:endnote>
  <w:endnote w:id="34">
    <w:p w14:paraId="2A26AF10" w14:textId="1D2B6592" w:rsidR="00FC0099" w:rsidRDefault="00FC0099">
      <w:pPr>
        <w:pStyle w:val="EndnoteText"/>
      </w:pPr>
      <w:r>
        <w:rPr>
          <w:rStyle w:val="EndnoteReference"/>
        </w:rPr>
        <w:endnoteRef/>
      </w:r>
      <w:r>
        <w:t xml:space="preserve"> </w:t>
      </w:r>
      <w:r w:rsidRPr="00723BA3">
        <w:rPr>
          <w:sz w:val="22"/>
          <w:szCs w:val="22"/>
        </w:rPr>
        <w:t xml:space="preserve">LGInform </w:t>
      </w:r>
    </w:p>
    <w:p w14:paraId="6722E9E7" w14:textId="653E410D" w:rsidR="00723BA3" w:rsidRDefault="004A23DC">
      <w:pPr>
        <w:pStyle w:val="EndnoteText"/>
        <w:rPr>
          <w:color w:val="76923C" w:themeColor="accent3" w:themeShade="BF"/>
        </w:rPr>
      </w:pPr>
      <w:hyperlink r:id="rId33" w:history="1">
        <w:r w:rsidR="00723BA3" w:rsidRPr="00723BA3">
          <w:rPr>
            <w:rStyle w:val="Hyperlink"/>
            <w:color w:val="76923C" w:themeColor="accent3" w:themeShade="BF"/>
          </w:rPr>
          <w:t>An Overview of Health and Wellbeing in Your Area | LG Inform (local.gov.uk)</w:t>
        </w:r>
      </w:hyperlink>
    </w:p>
    <w:p w14:paraId="199C1E6E" w14:textId="77777777" w:rsidR="00723BA3" w:rsidRDefault="00723BA3">
      <w:pPr>
        <w:pStyle w:val="EndnoteText"/>
      </w:pPr>
    </w:p>
  </w:endnote>
  <w:endnote w:id="35">
    <w:p w14:paraId="147620F0" w14:textId="77777777" w:rsidR="00723BA3" w:rsidRDefault="002C364E" w:rsidP="00723BA3">
      <w:pPr>
        <w:pStyle w:val="EndnoteText"/>
      </w:pPr>
      <w:r w:rsidRPr="00217793">
        <w:rPr>
          <w:rStyle w:val="EndnoteReference"/>
          <w:sz w:val="22"/>
          <w:szCs w:val="22"/>
        </w:rPr>
        <w:endnoteRef/>
      </w:r>
      <w:r w:rsidRPr="00217793">
        <w:rPr>
          <w:sz w:val="22"/>
          <w:szCs w:val="22"/>
        </w:rPr>
        <w:t xml:space="preserve"> </w:t>
      </w:r>
      <w:r w:rsidR="00723BA3" w:rsidRPr="00723BA3">
        <w:rPr>
          <w:sz w:val="22"/>
          <w:szCs w:val="22"/>
        </w:rPr>
        <w:t xml:space="preserve">LGInform </w:t>
      </w:r>
    </w:p>
    <w:p w14:paraId="12DA52FC" w14:textId="77777777" w:rsidR="00723BA3" w:rsidRDefault="004A23DC" w:rsidP="00723BA3">
      <w:pPr>
        <w:pStyle w:val="EndnoteText"/>
        <w:rPr>
          <w:color w:val="76923C" w:themeColor="accent3" w:themeShade="BF"/>
        </w:rPr>
      </w:pPr>
      <w:hyperlink r:id="rId34" w:history="1">
        <w:r w:rsidR="00723BA3" w:rsidRPr="00723BA3">
          <w:rPr>
            <w:rStyle w:val="Hyperlink"/>
            <w:color w:val="76923C" w:themeColor="accent3" w:themeShade="BF"/>
          </w:rPr>
          <w:t>An Overview of Health and Wellbeing in Your Area | LG Inform (local.gov.uk)</w:t>
        </w:r>
      </w:hyperlink>
    </w:p>
    <w:p w14:paraId="5A63A817" w14:textId="5CAE3F13" w:rsidR="002C364E" w:rsidRPr="00217793" w:rsidRDefault="002C364E" w:rsidP="00721E5D">
      <w:pPr>
        <w:pStyle w:val="EndnoteText"/>
        <w:rPr>
          <w:sz w:val="22"/>
          <w:szCs w:val="22"/>
        </w:rPr>
      </w:pPr>
    </w:p>
  </w:endnote>
  <w:endnote w:id="36">
    <w:p w14:paraId="6E2AEF00" w14:textId="77777777" w:rsidR="00723BA3" w:rsidRDefault="002C364E" w:rsidP="00723BA3">
      <w:pPr>
        <w:pStyle w:val="EndnoteText"/>
      </w:pPr>
      <w:r w:rsidRPr="00217793">
        <w:rPr>
          <w:rStyle w:val="EndnoteReference"/>
          <w:sz w:val="22"/>
          <w:szCs w:val="22"/>
        </w:rPr>
        <w:endnoteRef/>
      </w:r>
      <w:r w:rsidRPr="00217793">
        <w:rPr>
          <w:sz w:val="22"/>
          <w:szCs w:val="22"/>
        </w:rPr>
        <w:t xml:space="preserve"> </w:t>
      </w:r>
      <w:r w:rsidR="00723BA3" w:rsidRPr="00723BA3">
        <w:rPr>
          <w:sz w:val="22"/>
          <w:szCs w:val="22"/>
        </w:rPr>
        <w:t xml:space="preserve">LGInform </w:t>
      </w:r>
    </w:p>
    <w:p w14:paraId="001FC3FF" w14:textId="77777777" w:rsidR="00723BA3" w:rsidRDefault="004A23DC" w:rsidP="00723BA3">
      <w:pPr>
        <w:pStyle w:val="EndnoteText"/>
        <w:rPr>
          <w:color w:val="76923C" w:themeColor="accent3" w:themeShade="BF"/>
        </w:rPr>
      </w:pPr>
      <w:hyperlink r:id="rId35" w:history="1">
        <w:r w:rsidR="00723BA3" w:rsidRPr="00723BA3">
          <w:rPr>
            <w:rStyle w:val="Hyperlink"/>
            <w:color w:val="76923C" w:themeColor="accent3" w:themeShade="BF"/>
          </w:rPr>
          <w:t>An Overview of Health and Wellbeing in Your Area | LG Inform (local.gov.uk)</w:t>
        </w:r>
      </w:hyperlink>
    </w:p>
    <w:p w14:paraId="3C34607C" w14:textId="5DAEBDD0" w:rsidR="002C364E" w:rsidRPr="00217793" w:rsidRDefault="002C364E" w:rsidP="00721E5D">
      <w:pPr>
        <w:pStyle w:val="EndnoteText"/>
        <w:rPr>
          <w:sz w:val="22"/>
          <w:szCs w:val="22"/>
        </w:rPr>
      </w:pPr>
    </w:p>
  </w:endnote>
  <w:endnote w:id="37">
    <w:p w14:paraId="2D7D6834" w14:textId="0FE71C46" w:rsidR="002C364E" w:rsidRDefault="002C364E" w:rsidP="00721E5D">
      <w:pPr>
        <w:pStyle w:val="EndnoteText"/>
        <w:rPr>
          <w:sz w:val="22"/>
          <w:szCs w:val="22"/>
        </w:rPr>
      </w:pPr>
      <w:r w:rsidRPr="00217793">
        <w:rPr>
          <w:rStyle w:val="EndnoteReference"/>
          <w:sz w:val="22"/>
          <w:szCs w:val="22"/>
        </w:rPr>
        <w:endnoteRef/>
      </w:r>
      <w:r w:rsidRPr="00217793">
        <w:rPr>
          <w:sz w:val="22"/>
          <w:szCs w:val="22"/>
        </w:rPr>
        <w:t xml:space="preserve"> InstantAtlas Warwickshire</w:t>
      </w:r>
    </w:p>
    <w:p w14:paraId="62B4EF46" w14:textId="5F98D15B" w:rsidR="001540F3" w:rsidRDefault="004A23DC" w:rsidP="00721E5D">
      <w:pPr>
        <w:pStyle w:val="EndnoteText"/>
        <w:rPr>
          <w:color w:val="76923C" w:themeColor="accent3" w:themeShade="BF"/>
        </w:rPr>
      </w:pPr>
      <w:hyperlink r:id="rId36" w:anchor="/view-report/91ad73323d364d38a6fce67630a878bd/E07000221/G2" w:history="1">
        <w:r w:rsidR="001540F3" w:rsidRPr="001540F3">
          <w:rPr>
            <w:rStyle w:val="Hyperlink"/>
            <w:color w:val="76923C" w:themeColor="accent3" w:themeShade="BF"/>
          </w:rPr>
          <w:t>Health - LTLA | Stratford-on-Avon | InstantAtlas Reports (warwickshire.gov.uk)</w:t>
        </w:r>
      </w:hyperlink>
    </w:p>
    <w:p w14:paraId="404D8134" w14:textId="77777777" w:rsidR="001540F3" w:rsidRPr="00217793" w:rsidRDefault="001540F3" w:rsidP="00721E5D">
      <w:pPr>
        <w:pStyle w:val="EndnoteText"/>
        <w:rPr>
          <w:sz w:val="22"/>
          <w:szCs w:val="22"/>
        </w:rPr>
      </w:pPr>
    </w:p>
  </w:endnote>
  <w:endnote w:id="38">
    <w:p w14:paraId="2EC0CA9F" w14:textId="7DA3B916" w:rsidR="000A155E" w:rsidRDefault="000A155E">
      <w:pPr>
        <w:pStyle w:val="EndnoteText"/>
      </w:pPr>
      <w:r>
        <w:rPr>
          <w:rStyle w:val="EndnoteReference"/>
        </w:rPr>
        <w:endnoteRef/>
      </w:r>
      <w:r>
        <w:t xml:space="preserve"> </w:t>
      </w:r>
      <w:r w:rsidRPr="00743B62">
        <w:rPr>
          <w:sz w:val="22"/>
          <w:szCs w:val="22"/>
        </w:rPr>
        <w:t xml:space="preserve">The </w:t>
      </w:r>
      <w:r w:rsidR="007F7ED3" w:rsidRPr="00743B62">
        <w:rPr>
          <w:sz w:val="22"/>
          <w:szCs w:val="22"/>
        </w:rPr>
        <w:t>D</w:t>
      </w:r>
      <w:r w:rsidRPr="00743B62">
        <w:rPr>
          <w:sz w:val="22"/>
          <w:szCs w:val="22"/>
        </w:rPr>
        <w:t>epartment for Business, Energy and Industrial Strategy</w:t>
      </w:r>
      <w:r w:rsidR="007F7ED3" w:rsidRPr="00743B62">
        <w:rPr>
          <w:sz w:val="22"/>
          <w:szCs w:val="22"/>
        </w:rPr>
        <w:t xml:space="preserve"> </w:t>
      </w:r>
    </w:p>
    <w:p w14:paraId="0A98D284" w14:textId="2A501A24" w:rsidR="0095331B" w:rsidRDefault="004A23DC" w:rsidP="00950DE1">
      <w:pPr>
        <w:rPr>
          <w:color w:val="76923C" w:themeColor="accent3" w:themeShade="BF"/>
        </w:rPr>
      </w:pPr>
      <w:hyperlink r:id="rId37" w:history="1">
        <w:r w:rsidR="00743B62" w:rsidRPr="00743B62">
          <w:rPr>
            <w:rStyle w:val="Hyperlink"/>
            <w:color w:val="76923C" w:themeColor="accent3" w:themeShade="BF"/>
          </w:rPr>
          <w:t>Fuel poverty factsheet, England, 2020 (publishing.service.gov.uk)</w:t>
        </w:r>
      </w:hyperlink>
    </w:p>
    <w:p w14:paraId="2B390028" w14:textId="77777777" w:rsidR="00743B62" w:rsidRPr="00950DE1" w:rsidRDefault="00743B62" w:rsidP="00950DE1">
      <w:pPr>
        <w:rPr>
          <w:sz w:val="24"/>
          <w:szCs w:val="24"/>
        </w:rPr>
      </w:pPr>
    </w:p>
  </w:endnote>
  <w:endnote w:id="39">
    <w:p w14:paraId="0E4582EE" w14:textId="77777777" w:rsidR="0095331B" w:rsidRDefault="001F7BBE" w:rsidP="0095331B">
      <w:pPr>
        <w:pStyle w:val="EndnoteText"/>
      </w:pPr>
      <w:r>
        <w:rPr>
          <w:rStyle w:val="EndnoteReference"/>
        </w:rPr>
        <w:endnoteRef/>
      </w:r>
      <w:r>
        <w:t xml:space="preserve"> </w:t>
      </w:r>
      <w:r w:rsidR="0095331B" w:rsidRPr="00743B62">
        <w:rPr>
          <w:sz w:val="22"/>
          <w:szCs w:val="22"/>
        </w:rPr>
        <w:t xml:space="preserve">The Department for Business, Energy and Industrial Strategy </w:t>
      </w:r>
    </w:p>
    <w:p w14:paraId="3C9BA665" w14:textId="2AD2264F" w:rsidR="001F7BBE" w:rsidRDefault="004A23DC">
      <w:pPr>
        <w:pStyle w:val="EndnoteText"/>
        <w:rPr>
          <w:color w:val="76923C" w:themeColor="accent3" w:themeShade="BF"/>
        </w:rPr>
      </w:pPr>
      <w:hyperlink r:id="rId38" w:history="1">
        <w:r w:rsidR="00AB02C3" w:rsidRPr="00AB02C3">
          <w:rPr>
            <w:rStyle w:val="Hyperlink"/>
            <w:color w:val="76923C" w:themeColor="accent3" w:themeShade="BF"/>
          </w:rPr>
          <w:t>Fuel poverty factsheet, England, 2020 (publishing.service.gov.uk)</w:t>
        </w:r>
      </w:hyperlink>
    </w:p>
    <w:p w14:paraId="5C04A2CA" w14:textId="77777777" w:rsidR="00BE6AB3" w:rsidRDefault="00BE6AB3" w:rsidP="00507A7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87142" w14:textId="77777777" w:rsidR="002C364E" w:rsidRDefault="002C364E" w:rsidP="00C26E6D">
    <w:pPr>
      <w:spacing w:before="240" w:after="240"/>
      <w:ind w:left="0" w:firstLine="0"/>
      <w:jc w:val="center"/>
    </w:pPr>
  </w:p>
  <w:p w14:paraId="1C7DCFB0" w14:textId="77777777" w:rsidR="002C364E" w:rsidRPr="00C26E6D" w:rsidRDefault="002C364E" w:rsidP="00C26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7DFB3" w14:textId="77777777" w:rsidR="00CF7324" w:rsidRDefault="00CF7324" w:rsidP="00100859">
      <w:r>
        <w:separator/>
      </w:r>
    </w:p>
  </w:footnote>
  <w:footnote w:type="continuationSeparator" w:id="0">
    <w:p w14:paraId="33E60190" w14:textId="77777777" w:rsidR="00CF7324" w:rsidRDefault="00CF7324" w:rsidP="00100859">
      <w:r>
        <w:continuationSeparator/>
      </w:r>
    </w:p>
  </w:footnote>
  <w:footnote w:type="continuationNotice" w:id="1">
    <w:p w14:paraId="60B80347" w14:textId="77777777" w:rsidR="00CF7324" w:rsidRDefault="00CF7324">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4EC"/>
    <w:multiLevelType w:val="hybridMultilevel"/>
    <w:tmpl w:val="DBF49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3349A"/>
    <w:multiLevelType w:val="hybridMultilevel"/>
    <w:tmpl w:val="C1044DD0"/>
    <w:lvl w:ilvl="0" w:tplc="990AA46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6CC7E69"/>
    <w:multiLevelType w:val="hybridMultilevel"/>
    <w:tmpl w:val="B3846F04"/>
    <w:lvl w:ilvl="0" w:tplc="08090003">
      <w:start w:val="1"/>
      <w:numFmt w:val="bullet"/>
      <w:lvlText w:val="o"/>
      <w:lvlJc w:val="left"/>
      <w:pPr>
        <w:ind w:left="7112" w:hanging="360"/>
      </w:pPr>
      <w:rPr>
        <w:rFonts w:ascii="Courier New" w:hAnsi="Courier New" w:cs="Courier New" w:hint="default"/>
      </w:rPr>
    </w:lvl>
    <w:lvl w:ilvl="1" w:tplc="08090003" w:tentative="1">
      <w:start w:val="1"/>
      <w:numFmt w:val="bullet"/>
      <w:lvlText w:val="o"/>
      <w:lvlJc w:val="left"/>
      <w:pPr>
        <w:ind w:left="7832" w:hanging="360"/>
      </w:pPr>
      <w:rPr>
        <w:rFonts w:ascii="Courier New" w:hAnsi="Courier New" w:cs="Courier New" w:hint="default"/>
      </w:rPr>
    </w:lvl>
    <w:lvl w:ilvl="2" w:tplc="08090005" w:tentative="1">
      <w:start w:val="1"/>
      <w:numFmt w:val="bullet"/>
      <w:lvlText w:val=""/>
      <w:lvlJc w:val="left"/>
      <w:pPr>
        <w:ind w:left="8552" w:hanging="360"/>
      </w:pPr>
      <w:rPr>
        <w:rFonts w:ascii="Wingdings" w:hAnsi="Wingdings" w:hint="default"/>
      </w:rPr>
    </w:lvl>
    <w:lvl w:ilvl="3" w:tplc="08090001" w:tentative="1">
      <w:start w:val="1"/>
      <w:numFmt w:val="bullet"/>
      <w:lvlText w:val=""/>
      <w:lvlJc w:val="left"/>
      <w:pPr>
        <w:ind w:left="9272" w:hanging="360"/>
      </w:pPr>
      <w:rPr>
        <w:rFonts w:ascii="Symbol" w:hAnsi="Symbol" w:hint="default"/>
      </w:rPr>
    </w:lvl>
    <w:lvl w:ilvl="4" w:tplc="08090003" w:tentative="1">
      <w:start w:val="1"/>
      <w:numFmt w:val="bullet"/>
      <w:lvlText w:val="o"/>
      <w:lvlJc w:val="left"/>
      <w:pPr>
        <w:ind w:left="9992" w:hanging="360"/>
      </w:pPr>
      <w:rPr>
        <w:rFonts w:ascii="Courier New" w:hAnsi="Courier New" w:cs="Courier New" w:hint="default"/>
      </w:rPr>
    </w:lvl>
    <w:lvl w:ilvl="5" w:tplc="08090005" w:tentative="1">
      <w:start w:val="1"/>
      <w:numFmt w:val="bullet"/>
      <w:lvlText w:val=""/>
      <w:lvlJc w:val="left"/>
      <w:pPr>
        <w:ind w:left="10712" w:hanging="360"/>
      </w:pPr>
      <w:rPr>
        <w:rFonts w:ascii="Wingdings" w:hAnsi="Wingdings" w:hint="default"/>
      </w:rPr>
    </w:lvl>
    <w:lvl w:ilvl="6" w:tplc="08090001" w:tentative="1">
      <w:start w:val="1"/>
      <w:numFmt w:val="bullet"/>
      <w:lvlText w:val=""/>
      <w:lvlJc w:val="left"/>
      <w:pPr>
        <w:ind w:left="11432" w:hanging="360"/>
      </w:pPr>
      <w:rPr>
        <w:rFonts w:ascii="Symbol" w:hAnsi="Symbol" w:hint="default"/>
      </w:rPr>
    </w:lvl>
    <w:lvl w:ilvl="7" w:tplc="08090003" w:tentative="1">
      <w:start w:val="1"/>
      <w:numFmt w:val="bullet"/>
      <w:lvlText w:val="o"/>
      <w:lvlJc w:val="left"/>
      <w:pPr>
        <w:ind w:left="12152" w:hanging="360"/>
      </w:pPr>
      <w:rPr>
        <w:rFonts w:ascii="Courier New" w:hAnsi="Courier New" w:cs="Courier New" w:hint="default"/>
      </w:rPr>
    </w:lvl>
    <w:lvl w:ilvl="8" w:tplc="08090005" w:tentative="1">
      <w:start w:val="1"/>
      <w:numFmt w:val="bullet"/>
      <w:lvlText w:val=""/>
      <w:lvlJc w:val="left"/>
      <w:pPr>
        <w:ind w:left="12872" w:hanging="360"/>
      </w:pPr>
      <w:rPr>
        <w:rFonts w:ascii="Wingdings" w:hAnsi="Wingdings" w:hint="default"/>
      </w:rPr>
    </w:lvl>
  </w:abstractNum>
  <w:abstractNum w:abstractNumId="3" w15:restartNumberingAfterBreak="0">
    <w:nsid w:val="0C195332"/>
    <w:multiLevelType w:val="hybridMultilevel"/>
    <w:tmpl w:val="C652C6D4"/>
    <w:lvl w:ilvl="0" w:tplc="80167448">
      <w:start w:val="1"/>
      <w:numFmt w:val="bullet"/>
      <w:lvlText w:val="•"/>
      <w:lvlJc w:val="left"/>
      <w:pPr>
        <w:tabs>
          <w:tab w:val="num" w:pos="720"/>
        </w:tabs>
        <w:ind w:left="720" w:hanging="360"/>
      </w:pPr>
      <w:rPr>
        <w:rFonts w:ascii="Arial" w:hAnsi="Arial" w:hint="default"/>
      </w:rPr>
    </w:lvl>
    <w:lvl w:ilvl="1" w:tplc="862A69E0" w:tentative="1">
      <w:start w:val="1"/>
      <w:numFmt w:val="bullet"/>
      <w:lvlText w:val="•"/>
      <w:lvlJc w:val="left"/>
      <w:pPr>
        <w:tabs>
          <w:tab w:val="num" w:pos="1440"/>
        </w:tabs>
        <w:ind w:left="1440" w:hanging="360"/>
      </w:pPr>
      <w:rPr>
        <w:rFonts w:ascii="Arial" w:hAnsi="Arial" w:hint="default"/>
      </w:rPr>
    </w:lvl>
    <w:lvl w:ilvl="2" w:tplc="4C3AD030" w:tentative="1">
      <w:start w:val="1"/>
      <w:numFmt w:val="bullet"/>
      <w:lvlText w:val="•"/>
      <w:lvlJc w:val="left"/>
      <w:pPr>
        <w:tabs>
          <w:tab w:val="num" w:pos="2160"/>
        </w:tabs>
        <w:ind w:left="2160" w:hanging="360"/>
      </w:pPr>
      <w:rPr>
        <w:rFonts w:ascii="Arial" w:hAnsi="Arial" w:hint="default"/>
      </w:rPr>
    </w:lvl>
    <w:lvl w:ilvl="3" w:tplc="40EE74F2" w:tentative="1">
      <w:start w:val="1"/>
      <w:numFmt w:val="bullet"/>
      <w:lvlText w:val="•"/>
      <w:lvlJc w:val="left"/>
      <w:pPr>
        <w:tabs>
          <w:tab w:val="num" w:pos="2880"/>
        </w:tabs>
        <w:ind w:left="2880" w:hanging="360"/>
      </w:pPr>
      <w:rPr>
        <w:rFonts w:ascii="Arial" w:hAnsi="Arial" w:hint="default"/>
      </w:rPr>
    </w:lvl>
    <w:lvl w:ilvl="4" w:tplc="04C8CEEA" w:tentative="1">
      <w:start w:val="1"/>
      <w:numFmt w:val="bullet"/>
      <w:lvlText w:val="•"/>
      <w:lvlJc w:val="left"/>
      <w:pPr>
        <w:tabs>
          <w:tab w:val="num" w:pos="3600"/>
        </w:tabs>
        <w:ind w:left="3600" w:hanging="360"/>
      </w:pPr>
      <w:rPr>
        <w:rFonts w:ascii="Arial" w:hAnsi="Arial" w:hint="default"/>
      </w:rPr>
    </w:lvl>
    <w:lvl w:ilvl="5" w:tplc="7D2A1A6C" w:tentative="1">
      <w:start w:val="1"/>
      <w:numFmt w:val="bullet"/>
      <w:lvlText w:val="•"/>
      <w:lvlJc w:val="left"/>
      <w:pPr>
        <w:tabs>
          <w:tab w:val="num" w:pos="4320"/>
        </w:tabs>
        <w:ind w:left="4320" w:hanging="360"/>
      </w:pPr>
      <w:rPr>
        <w:rFonts w:ascii="Arial" w:hAnsi="Arial" w:hint="default"/>
      </w:rPr>
    </w:lvl>
    <w:lvl w:ilvl="6" w:tplc="07FC8A0A" w:tentative="1">
      <w:start w:val="1"/>
      <w:numFmt w:val="bullet"/>
      <w:lvlText w:val="•"/>
      <w:lvlJc w:val="left"/>
      <w:pPr>
        <w:tabs>
          <w:tab w:val="num" w:pos="5040"/>
        </w:tabs>
        <w:ind w:left="5040" w:hanging="360"/>
      </w:pPr>
      <w:rPr>
        <w:rFonts w:ascii="Arial" w:hAnsi="Arial" w:hint="default"/>
      </w:rPr>
    </w:lvl>
    <w:lvl w:ilvl="7" w:tplc="0EE0E220" w:tentative="1">
      <w:start w:val="1"/>
      <w:numFmt w:val="bullet"/>
      <w:lvlText w:val="•"/>
      <w:lvlJc w:val="left"/>
      <w:pPr>
        <w:tabs>
          <w:tab w:val="num" w:pos="5760"/>
        </w:tabs>
        <w:ind w:left="5760" w:hanging="360"/>
      </w:pPr>
      <w:rPr>
        <w:rFonts w:ascii="Arial" w:hAnsi="Arial" w:hint="default"/>
      </w:rPr>
    </w:lvl>
    <w:lvl w:ilvl="8" w:tplc="76808DA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4B11030"/>
    <w:multiLevelType w:val="multilevel"/>
    <w:tmpl w:val="6B480CA4"/>
    <w:lvl w:ilvl="0">
      <w:start w:val="9"/>
      <w:numFmt w:val="decimal"/>
      <w:lvlText w:val="%1"/>
      <w:lvlJc w:val="left"/>
      <w:pPr>
        <w:ind w:left="580" w:hanging="5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4EB213D"/>
    <w:multiLevelType w:val="hybridMultilevel"/>
    <w:tmpl w:val="C4C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B73272"/>
    <w:multiLevelType w:val="hybridMultilevel"/>
    <w:tmpl w:val="713452D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37379B"/>
    <w:multiLevelType w:val="hybridMultilevel"/>
    <w:tmpl w:val="E77E7DCC"/>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200F0E88"/>
    <w:multiLevelType w:val="hybridMultilevel"/>
    <w:tmpl w:val="73D8ACC0"/>
    <w:lvl w:ilvl="0" w:tplc="3A22B85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6B455A"/>
    <w:multiLevelType w:val="hybridMultilevel"/>
    <w:tmpl w:val="BECE9E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A1D48BF"/>
    <w:multiLevelType w:val="hybridMultilevel"/>
    <w:tmpl w:val="0B7A91F2"/>
    <w:lvl w:ilvl="0" w:tplc="08090001">
      <w:start w:val="1"/>
      <w:numFmt w:val="bullet"/>
      <w:lvlText w:val=""/>
      <w:lvlJc w:val="left"/>
      <w:pPr>
        <w:tabs>
          <w:tab w:val="num" w:pos="1083"/>
        </w:tabs>
        <w:ind w:left="1083" w:hanging="360"/>
      </w:pPr>
      <w:rPr>
        <w:rFonts w:ascii="Symbol" w:hAnsi="Symbol" w:hint="default"/>
      </w:rPr>
    </w:lvl>
    <w:lvl w:ilvl="1" w:tplc="08090003" w:tentative="1">
      <w:start w:val="1"/>
      <w:numFmt w:val="bullet"/>
      <w:lvlText w:val="o"/>
      <w:lvlJc w:val="left"/>
      <w:pPr>
        <w:tabs>
          <w:tab w:val="num" w:pos="1803"/>
        </w:tabs>
        <w:ind w:left="1803" w:hanging="360"/>
      </w:pPr>
      <w:rPr>
        <w:rFonts w:ascii="Courier New" w:hAnsi="Courier New" w:cs="Courier New" w:hint="default"/>
      </w:rPr>
    </w:lvl>
    <w:lvl w:ilvl="2" w:tplc="08090005" w:tentative="1">
      <w:start w:val="1"/>
      <w:numFmt w:val="bullet"/>
      <w:lvlText w:val=""/>
      <w:lvlJc w:val="left"/>
      <w:pPr>
        <w:tabs>
          <w:tab w:val="num" w:pos="2523"/>
        </w:tabs>
        <w:ind w:left="2523" w:hanging="360"/>
      </w:pPr>
      <w:rPr>
        <w:rFonts w:ascii="Wingdings" w:hAnsi="Wingdings" w:hint="default"/>
      </w:rPr>
    </w:lvl>
    <w:lvl w:ilvl="3" w:tplc="08090001" w:tentative="1">
      <w:start w:val="1"/>
      <w:numFmt w:val="bullet"/>
      <w:lvlText w:val=""/>
      <w:lvlJc w:val="left"/>
      <w:pPr>
        <w:tabs>
          <w:tab w:val="num" w:pos="3243"/>
        </w:tabs>
        <w:ind w:left="3243" w:hanging="360"/>
      </w:pPr>
      <w:rPr>
        <w:rFonts w:ascii="Symbol" w:hAnsi="Symbol" w:hint="default"/>
      </w:rPr>
    </w:lvl>
    <w:lvl w:ilvl="4" w:tplc="08090003" w:tentative="1">
      <w:start w:val="1"/>
      <w:numFmt w:val="bullet"/>
      <w:lvlText w:val="o"/>
      <w:lvlJc w:val="left"/>
      <w:pPr>
        <w:tabs>
          <w:tab w:val="num" w:pos="3963"/>
        </w:tabs>
        <w:ind w:left="3963" w:hanging="360"/>
      </w:pPr>
      <w:rPr>
        <w:rFonts w:ascii="Courier New" w:hAnsi="Courier New" w:cs="Courier New" w:hint="default"/>
      </w:rPr>
    </w:lvl>
    <w:lvl w:ilvl="5" w:tplc="08090005" w:tentative="1">
      <w:start w:val="1"/>
      <w:numFmt w:val="bullet"/>
      <w:lvlText w:val=""/>
      <w:lvlJc w:val="left"/>
      <w:pPr>
        <w:tabs>
          <w:tab w:val="num" w:pos="4683"/>
        </w:tabs>
        <w:ind w:left="4683" w:hanging="360"/>
      </w:pPr>
      <w:rPr>
        <w:rFonts w:ascii="Wingdings" w:hAnsi="Wingdings" w:hint="default"/>
      </w:rPr>
    </w:lvl>
    <w:lvl w:ilvl="6" w:tplc="08090001" w:tentative="1">
      <w:start w:val="1"/>
      <w:numFmt w:val="bullet"/>
      <w:lvlText w:val=""/>
      <w:lvlJc w:val="left"/>
      <w:pPr>
        <w:tabs>
          <w:tab w:val="num" w:pos="5403"/>
        </w:tabs>
        <w:ind w:left="5403" w:hanging="360"/>
      </w:pPr>
      <w:rPr>
        <w:rFonts w:ascii="Symbol" w:hAnsi="Symbol" w:hint="default"/>
      </w:rPr>
    </w:lvl>
    <w:lvl w:ilvl="7" w:tplc="08090003" w:tentative="1">
      <w:start w:val="1"/>
      <w:numFmt w:val="bullet"/>
      <w:lvlText w:val="o"/>
      <w:lvlJc w:val="left"/>
      <w:pPr>
        <w:tabs>
          <w:tab w:val="num" w:pos="6123"/>
        </w:tabs>
        <w:ind w:left="6123" w:hanging="360"/>
      </w:pPr>
      <w:rPr>
        <w:rFonts w:ascii="Courier New" w:hAnsi="Courier New" w:cs="Courier New" w:hint="default"/>
      </w:rPr>
    </w:lvl>
    <w:lvl w:ilvl="8" w:tplc="08090005" w:tentative="1">
      <w:start w:val="1"/>
      <w:numFmt w:val="bullet"/>
      <w:lvlText w:val=""/>
      <w:lvlJc w:val="left"/>
      <w:pPr>
        <w:tabs>
          <w:tab w:val="num" w:pos="6843"/>
        </w:tabs>
        <w:ind w:left="6843" w:hanging="360"/>
      </w:pPr>
      <w:rPr>
        <w:rFonts w:ascii="Wingdings" w:hAnsi="Wingdings" w:hint="default"/>
      </w:rPr>
    </w:lvl>
  </w:abstractNum>
  <w:abstractNum w:abstractNumId="11" w15:restartNumberingAfterBreak="0">
    <w:nsid w:val="2ABC3202"/>
    <w:multiLevelType w:val="hybridMultilevel"/>
    <w:tmpl w:val="87146958"/>
    <w:lvl w:ilvl="0" w:tplc="C3EAA37C">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230858"/>
    <w:multiLevelType w:val="hybridMultilevel"/>
    <w:tmpl w:val="80C4616C"/>
    <w:lvl w:ilvl="0" w:tplc="08090017">
      <w:start w:val="1"/>
      <w:numFmt w:val="lowerLetter"/>
      <w:lvlText w:val="%1)"/>
      <w:lvlJc w:val="left"/>
      <w:pPr>
        <w:ind w:left="1648" w:hanging="360"/>
      </w:p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13" w15:restartNumberingAfterBreak="0">
    <w:nsid w:val="30223E11"/>
    <w:multiLevelType w:val="hybridMultilevel"/>
    <w:tmpl w:val="55724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E249C7"/>
    <w:multiLevelType w:val="hybridMultilevel"/>
    <w:tmpl w:val="486471C2"/>
    <w:lvl w:ilvl="0" w:tplc="ABCE8868">
      <w:start w:val="1"/>
      <w:numFmt w:val="bullet"/>
      <w:lvlText w:val=""/>
      <w:lvlJc w:val="lef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1E4062"/>
    <w:multiLevelType w:val="multilevel"/>
    <w:tmpl w:val="F7C24E4E"/>
    <w:lvl w:ilvl="0">
      <w:start w:val="4"/>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val="0"/>
        <w:i w:val="0"/>
        <w:iCs w:val="0"/>
        <w:color w:val="auto"/>
        <w:sz w:val="22"/>
        <w:szCs w:val="22"/>
      </w:rPr>
    </w:lvl>
    <w:lvl w:ilvl="2">
      <w:start w:val="1"/>
      <w:numFmt w:val="bullet"/>
      <w:lvlText w:val=""/>
      <w:lvlJc w:val="left"/>
      <w:pPr>
        <w:ind w:left="720" w:hanging="720"/>
      </w:pPr>
      <w:rPr>
        <w:rFonts w:ascii="Symbol" w:hAnsi="Symbol" w:hint="default"/>
        <w:b w:val="0"/>
        <w:color w:val="auto"/>
        <w:sz w:val="22"/>
        <w:szCs w:val="22"/>
      </w:rPr>
    </w:lvl>
    <w:lvl w:ilvl="3">
      <w:start w:val="1"/>
      <w:numFmt w:val="decimal"/>
      <w:lvlText w:val="%1.%2%3.%4"/>
      <w:lvlJc w:val="left"/>
      <w:pPr>
        <w:ind w:left="1080" w:hanging="1080"/>
      </w:pPr>
      <w:rPr>
        <w:rFonts w:hint="default"/>
        <w:b w:val="0"/>
        <w:i w:val="0"/>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49615EF"/>
    <w:multiLevelType w:val="hybridMultilevel"/>
    <w:tmpl w:val="168AF3D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EC61A8"/>
    <w:multiLevelType w:val="hybridMultilevel"/>
    <w:tmpl w:val="77B49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FC4373"/>
    <w:multiLevelType w:val="multilevel"/>
    <w:tmpl w:val="A2CC1AA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42EE5D5C"/>
    <w:multiLevelType w:val="hybridMultilevel"/>
    <w:tmpl w:val="AAF620D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0" w15:restartNumberingAfterBreak="0">
    <w:nsid w:val="473E5A36"/>
    <w:multiLevelType w:val="multilevel"/>
    <w:tmpl w:val="7472A50C"/>
    <w:lvl w:ilvl="0">
      <w:start w:val="1"/>
      <w:numFmt w:val="decimal"/>
      <w:lvlText w:val="%1"/>
      <w:lvlJc w:val="left"/>
      <w:pPr>
        <w:tabs>
          <w:tab w:val="num" w:pos="720"/>
        </w:tabs>
        <w:ind w:left="720" w:hanging="720"/>
      </w:pPr>
      <w:rPr>
        <w:rFonts w:ascii="Verdana" w:hAnsi="Verdana" w:hint="default"/>
        <w:b/>
        <w:i w:val="0"/>
        <w:color w:val="auto"/>
        <w:sz w:val="20"/>
      </w:rPr>
    </w:lvl>
    <w:lvl w:ilvl="1">
      <w:start w:val="1"/>
      <w:numFmt w:val="decimal"/>
      <w:pStyle w:val="BodyText"/>
      <w:lvlText w:val="%1.%2"/>
      <w:lvlJc w:val="left"/>
      <w:pPr>
        <w:tabs>
          <w:tab w:val="num" w:pos="720"/>
        </w:tabs>
        <w:ind w:left="720" w:hanging="720"/>
      </w:pPr>
      <w:rPr>
        <w:rFonts w:ascii="Verdana" w:hAnsi="Verdana" w:hint="default"/>
        <w:b w:val="0"/>
        <w:i w:val="0"/>
        <w:color w:val="auto"/>
        <w:sz w:val="20"/>
      </w:rPr>
    </w:lvl>
    <w:lvl w:ilvl="2">
      <w:start w:val="1"/>
      <w:numFmt w:val="decimal"/>
      <w:pStyle w:val="BodyTextIndent2"/>
      <w:lvlText w:val="6.%2.%3"/>
      <w:lvlJc w:val="left"/>
      <w:pPr>
        <w:tabs>
          <w:tab w:val="num" w:pos="1004"/>
        </w:tabs>
        <w:ind w:left="1004" w:hanging="720"/>
      </w:pPr>
      <w:rPr>
        <w:rFonts w:ascii="Verdana" w:hAnsi="Verdana" w:hint="default"/>
        <w:b w:val="0"/>
        <w:i w:val="0"/>
        <w:color w:val="auto"/>
        <w:sz w:val="2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4AD22AEE"/>
    <w:multiLevelType w:val="hybridMultilevel"/>
    <w:tmpl w:val="7E040690"/>
    <w:lvl w:ilvl="0" w:tplc="202CA37E">
      <w:start w:val="1"/>
      <w:numFmt w:val="lowerRoman"/>
      <w:lvlText w:val="%1."/>
      <w:lvlJc w:val="right"/>
      <w:pPr>
        <w:ind w:left="1288" w:hanging="360"/>
      </w:pPr>
      <w:rPr>
        <w:color w:val="auto"/>
      </w:rPr>
    </w:lvl>
    <w:lvl w:ilvl="1" w:tplc="08090019" w:tentative="1">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22" w15:restartNumberingAfterBreak="0">
    <w:nsid w:val="54CD165F"/>
    <w:multiLevelType w:val="hybridMultilevel"/>
    <w:tmpl w:val="DA941CA2"/>
    <w:lvl w:ilvl="0" w:tplc="FFFFFFFF">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BB0F95"/>
    <w:multiLevelType w:val="multilevel"/>
    <w:tmpl w:val="3E14E174"/>
    <w:lvl w:ilvl="0">
      <w:start w:val="1"/>
      <w:numFmt w:val="decimal"/>
      <w:lvlText w:val="%1"/>
      <w:lvlJc w:val="left"/>
      <w:pPr>
        <w:ind w:left="432" w:hanging="432"/>
      </w:pPr>
      <w:rPr>
        <w:b/>
        <w:color w:val="000000" w:themeColor="text1"/>
      </w:rPr>
    </w:lvl>
    <w:lvl w:ilvl="1">
      <w:start w:val="1"/>
      <w:numFmt w:val="decimal"/>
      <w:lvlText w:val="%1.%2"/>
      <w:lvlJc w:val="left"/>
      <w:pPr>
        <w:ind w:left="576" w:hanging="576"/>
      </w:pPr>
      <w:rPr>
        <w:b w:val="0"/>
        <w:i w:val="0"/>
        <w:iCs w:val="0"/>
        <w:color w:val="000000" w:themeColor="text1"/>
        <w:sz w:val="22"/>
        <w:szCs w:val="22"/>
      </w:rPr>
    </w:lvl>
    <w:lvl w:ilvl="2">
      <w:start w:val="1"/>
      <w:numFmt w:val="decimal"/>
      <w:lvlText w:val="%1.%2.%3"/>
      <w:lvlJc w:val="left"/>
      <w:pPr>
        <w:ind w:left="720" w:hanging="720"/>
      </w:pPr>
      <w:rPr>
        <w:b w:val="0"/>
        <w:color w:val="auto"/>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603C1F2E"/>
    <w:multiLevelType w:val="hybridMultilevel"/>
    <w:tmpl w:val="AC328A78"/>
    <w:lvl w:ilvl="0" w:tplc="FFFFFFFF">
      <w:start w:val="1"/>
      <w:numFmt w:val="bullet"/>
      <w:lvlText w:val=""/>
      <w:lvlJc w:val="left"/>
      <w:pPr>
        <w:tabs>
          <w:tab w:val="num" w:pos="720"/>
        </w:tabs>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0C9371B"/>
    <w:multiLevelType w:val="multilevel"/>
    <w:tmpl w:val="593818F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62A7596A"/>
    <w:multiLevelType w:val="multilevel"/>
    <w:tmpl w:val="25521898"/>
    <w:lvl w:ilvl="0">
      <w:start w:val="11"/>
      <w:numFmt w:val="decimal"/>
      <w:lvlText w:val="%1"/>
      <w:lvlJc w:val="left"/>
      <w:pPr>
        <w:ind w:left="577" w:hanging="435"/>
      </w:pPr>
      <w:rPr>
        <w:rFonts w:hint="default"/>
        <w:b/>
        <w:bCs w:val="0"/>
      </w:rPr>
    </w:lvl>
    <w:lvl w:ilvl="1">
      <w:start w:val="1"/>
      <w:numFmt w:val="decimal"/>
      <w:lvlText w:val="%1.%2"/>
      <w:lvlJc w:val="left"/>
      <w:pPr>
        <w:ind w:left="720" w:hanging="720"/>
      </w:pPr>
      <w:rPr>
        <w:rFonts w:hint="default"/>
        <w:b w:val="0"/>
        <w:i w:val="0"/>
        <w:color w:val="auto"/>
        <w:sz w:val="22"/>
        <w:szCs w:val="22"/>
      </w:rPr>
    </w:lvl>
    <w:lvl w:ilvl="2">
      <w:start w:val="1"/>
      <w:numFmt w:val="decimal"/>
      <w:lvlText w:val="%1.%2.%3"/>
      <w:lvlJc w:val="left"/>
      <w:pPr>
        <w:ind w:left="143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6650516F"/>
    <w:multiLevelType w:val="hybridMultilevel"/>
    <w:tmpl w:val="A760BE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7FD26A0"/>
    <w:multiLevelType w:val="hybridMultilevel"/>
    <w:tmpl w:val="0A94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861A77"/>
    <w:multiLevelType w:val="singleLevel"/>
    <w:tmpl w:val="08090003"/>
    <w:lvl w:ilvl="0">
      <w:start w:val="1"/>
      <w:numFmt w:val="bullet"/>
      <w:pStyle w:val="bullet2"/>
      <w:lvlText w:val=""/>
      <w:lvlJc w:val="left"/>
      <w:pPr>
        <w:tabs>
          <w:tab w:val="num" w:pos="360"/>
        </w:tabs>
        <w:ind w:left="360" w:hanging="360"/>
      </w:pPr>
      <w:rPr>
        <w:rFonts w:ascii="Symbol" w:hAnsi="Symbol" w:hint="default"/>
      </w:rPr>
    </w:lvl>
  </w:abstractNum>
  <w:abstractNum w:abstractNumId="30" w15:restartNumberingAfterBreak="0">
    <w:nsid w:val="6C874BB7"/>
    <w:multiLevelType w:val="hybridMultilevel"/>
    <w:tmpl w:val="DC147BCA"/>
    <w:lvl w:ilvl="0" w:tplc="C3EAA37C">
      <w:start w:val="1"/>
      <w:numFmt w:val="bullet"/>
      <w:lvlText w:val=""/>
      <w:lvlJc w:val="left"/>
      <w:pPr>
        <w:ind w:left="108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6A5B08"/>
    <w:multiLevelType w:val="hybridMultilevel"/>
    <w:tmpl w:val="38707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47588E"/>
    <w:multiLevelType w:val="multilevel"/>
    <w:tmpl w:val="293AD974"/>
    <w:lvl w:ilvl="0">
      <w:start w:val="3"/>
      <w:numFmt w:val="decimal"/>
      <w:lvlText w:val="%1"/>
      <w:lvlJc w:val="left"/>
      <w:pPr>
        <w:ind w:left="580" w:hanging="58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15:restartNumberingAfterBreak="0">
    <w:nsid w:val="7EAF48D0"/>
    <w:multiLevelType w:val="multilevel"/>
    <w:tmpl w:val="1BE441EC"/>
    <w:lvl w:ilvl="0">
      <w:start w:val="3"/>
      <w:numFmt w:val="decimal"/>
      <w:lvlText w:val="%1"/>
      <w:lvlJc w:val="left"/>
      <w:pPr>
        <w:ind w:left="530" w:hanging="530"/>
      </w:pPr>
      <w:rPr>
        <w:rFonts w:hint="default"/>
      </w:rPr>
    </w:lvl>
    <w:lvl w:ilvl="1">
      <w:start w:val="2"/>
      <w:numFmt w:val="decimal"/>
      <w:lvlText w:val="%1.%2"/>
      <w:lvlJc w:val="left"/>
      <w:pPr>
        <w:ind w:left="720" w:hanging="72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20"/>
  </w:num>
  <w:num w:numId="2">
    <w:abstractNumId w:val="29"/>
  </w:num>
  <w:num w:numId="3">
    <w:abstractNumId w:val="10"/>
  </w:num>
  <w:num w:numId="4">
    <w:abstractNumId w:val="2"/>
  </w:num>
  <w:num w:numId="5">
    <w:abstractNumId w:val="31"/>
  </w:num>
  <w:num w:numId="6">
    <w:abstractNumId w:val="2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21"/>
  </w:num>
  <w:num w:numId="10">
    <w:abstractNumId w:val="23"/>
  </w:num>
  <w:num w:numId="11">
    <w:abstractNumId w:val="18"/>
  </w:num>
  <w:num w:numId="12">
    <w:abstractNumId w:val="26"/>
  </w:num>
  <w:num w:numId="13">
    <w:abstractNumId w:val="3"/>
  </w:num>
  <w:num w:numId="14">
    <w:abstractNumId w:val="6"/>
  </w:num>
  <w:num w:numId="15">
    <w:abstractNumId w:val="11"/>
  </w:num>
  <w:num w:numId="16">
    <w:abstractNumId w:val="14"/>
  </w:num>
  <w:num w:numId="17">
    <w:abstractNumId w:val="7"/>
  </w:num>
  <w:num w:numId="18">
    <w:abstractNumId w:val="1"/>
  </w:num>
  <w:num w:numId="19">
    <w:abstractNumId w:val="33"/>
  </w:num>
  <w:num w:numId="20">
    <w:abstractNumId w:val="15"/>
  </w:num>
  <w:num w:numId="21">
    <w:abstractNumId w:val="19"/>
  </w:num>
  <w:num w:numId="22">
    <w:abstractNumId w:val="13"/>
  </w:num>
  <w:num w:numId="23">
    <w:abstractNumId w:val="9"/>
  </w:num>
  <w:num w:numId="24">
    <w:abstractNumId w:val="16"/>
  </w:num>
  <w:num w:numId="25">
    <w:abstractNumId w:val="0"/>
  </w:num>
  <w:num w:numId="26">
    <w:abstractNumId w:val="28"/>
  </w:num>
  <w:num w:numId="27">
    <w:abstractNumId w:val="30"/>
  </w:num>
  <w:num w:numId="28">
    <w:abstractNumId w:val="8"/>
  </w:num>
  <w:num w:numId="29">
    <w:abstractNumId w:val="32"/>
  </w:num>
  <w:num w:numId="30">
    <w:abstractNumId w:val="4"/>
  </w:num>
  <w:num w:numId="31">
    <w:abstractNumId w:val="27"/>
  </w:num>
  <w:num w:numId="32">
    <w:abstractNumId w:val="17"/>
  </w:num>
  <w:num w:numId="33">
    <w:abstractNumId w:val="12"/>
  </w:num>
  <w:num w:numId="34">
    <w:abstractNumId w:val="5"/>
  </w:num>
  <w:num w:numId="35">
    <w:abstractNumId w:val="24"/>
  </w:num>
  <w:num w:numId="36">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611"/>
    <w:rsid w:val="00000C59"/>
    <w:rsid w:val="00001DFA"/>
    <w:rsid w:val="00002E9F"/>
    <w:rsid w:val="00003422"/>
    <w:rsid w:val="00003607"/>
    <w:rsid w:val="00003BD9"/>
    <w:rsid w:val="000053F3"/>
    <w:rsid w:val="0000651F"/>
    <w:rsid w:val="00006C9D"/>
    <w:rsid w:val="00006E14"/>
    <w:rsid w:val="00007CE9"/>
    <w:rsid w:val="00010A0F"/>
    <w:rsid w:val="00013AF9"/>
    <w:rsid w:val="0001697A"/>
    <w:rsid w:val="000169DD"/>
    <w:rsid w:val="000171E0"/>
    <w:rsid w:val="00017E5A"/>
    <w:rsid w:val="00020954"/>
    <w:rsid w:val="00021B9C"/>
    <w:rsid w:val="00021DC1"/>
    <w:rsid w:val="000223A1"/>
    <w:rsid w:val="00022B87"/>
    <w:rsid w:val="000236BA"/>
    <w:rsid w:val="00023A93"/>
    <w:rsid w:val="00023F88"/>
    <w:rsid w:val="00024FF5"/>
    <w:rsid w:val="00027B7B"/>
    <w:rsid w:val="00027E75"/>
    <w:rsid w:val="00030D05"/>
    <w:rsid w:val="00030F31"/>
    <w:rsid w:val="0003263A"/>
    <w:rsid w:val="00032DDD"/>
    <w:rsid w:val="00034A2D"/>
    <w:rsid w:val="00034CDE"/>
    <w:rsid w:val="00035771"/>
    <w:rsid w:val="00036973"/>
    <w:rsid w:val="00036CB2"/>
    <w:rsid w:val="00037CE5"/>
    <w:rsid w:val="00040843"/>
    <w:rsid w:val="00041399"/>
    <w:rsid w:val="00042018"/>
    <w:rsid w:val="00042602"/>
    <w:rsid w:val="00043332"/>
    <w:rsid w:val="00043950"/>
    <w:rsid w:val="0004399D"/>
    <w:rsid w:val="00044719"/>
    <w:rsid w:val="00046520"/>
    <w:rsid w:val="00047FAC"/>
    <w:rsid w:val="0005196F"/>
    <w:rsid w:val="00051B7C"/>
    <w:rsid w:val="0005287A"/>
    <w:rsid w:val="000529C1"/>
    <w:rsid w:val="0005316D"/>
    <w:rsid w:val="0005336B"/>
    <w:rsid w:val="00054676"/>
    <w:rsid w:val="000554A6"/>
    <w:rsid w:val="0005728C"/>
    <w:rsid w:val="00060088"/>
    <w:rsid w:val="00060E8D"/>
    <w:rsid w:val="000615DF"/>
    <w:rsid w:val="00065089"/>
    <w:rsid w:val="00065EDA"/>
    <w:rsid w:val="0007093B"/>
    <w:rsid w:val="00070C12"/>
    <w:rsid w:val="00071063"/>
    <w:rsid w:val="00071BB1"/>
    <w:rsid w:val="00071E44"/>
    <w:rsid w:val="000724D0"/>
    <w:rsid w:val="00072B7D"/>
    <w:rsid w:val="00072E5E"/>
    <w:rsid w:val="000735D4"/>
    <w:rsid w:val="00075D65"/>
    <w:rsid w:val="0007654D"/>
    <w:rsid w:val="00080C6F"/>
    <w:rsid w:val="0008510F"/>
    <w:rsid w:val="000917DE"/>
    <w:rsid w:val="00091B5A"/>
    <w:rsid w:val="000923C9"/>
    <w:rsid w:val="000956D0"/>
    <w:rsid w:val="00095816"/>
    <w:rsid w:val="00095A08"/>
    <w:rsid w:val="00095D8F"/>
    <w:rsid w:val="0009691A"/>
    <w:rsid w:val="00096DB1"/>
    <w:rsid w:val="00097BED"/>
    <w:rsid w:val="000A155E"/>
    <w:rsid w:val="000A1EEE"/>
    <w:rsid w:val="000A24D2"/>
    <w:rsid w:val="000A3444"/>
    <w:rsid w:val="000A3F43"/>
    <w:rsid w:val="000A4276"/>
    <w:rsid w:val="000A5A5B"/>
    <w:rsid w:val="000A5B1E"/>
    <w:rsid w:val="000A74B8"/>
    <w:rsid w:val="000A7902"/>
    <w:rsid w:val="000A7B69"/>
    <w:rsid w:val="000B082F"/>
    <w:rsid w:val="000B1A5F"/>
    <w:rsid w:val="000B35DE"/>
    <w:rsid w:val="000B444A"/>
    <w:rsid w:val="000B4971"/>
    <w:rsid w:val="000B4F3D"/>
    <w:rsid w:val="000B65A7"/>
    <w:rsid w:val="000B786E"/>
    <w:rsid w:val="000C0213"/>
    <w:rsid w:val="000C0E04"/>
    <w:rsid w:val="000C0F97"/>
    <w:rsid w:val="000C2083"/>
    <w:rsid w:val="000C2EB7"/>
    <w:rsid w:val="000C4974"/>
    <w:rsid w:val="000C4D82"/>
    <w:rsid w:val="000C4DB9"/>
    <w:rsid w:val="000C5488"/>
    <w:rsid w:val="000C5F46"/>
    <w:rsid w:val="000C78F5"/>
    <w:rsid w:val="000C7E0A"/>
    <w:rsid w:val="000D0CC8"/>
    <w:rsid w:val="000D1143"/>
    <w:rsid w:val="000D1487"/>
    <w:rsid w:val="000D4A70"/>
    <w:rsid w:val="000D4ED5"/>
    <w:rsid w:val="000D54F3"/>
    <w:rsid w:val="000D600E"/>
    <w:rsid w:val="000D6424"/>
    <w:rsid w:val="000E0892"/>
    <w:rsid w:val="000E0DD6"/>
    <w:rsid w:val="000E1229"/>
    <w:rsid w:val="000E14AF"/>
    <w:rsid w:val="000E2B94"/>
    <w:rsid w:val="000E3AE6"/>
    <w:rsid w:val="000E4770"/>
    <w:rsid w:val="000E7B88"/>
    <w:rsid w:val="000F0594"/>
    <w:rsid w:val="000F0B1A"/>
    <w:rsid w:val="000F25F4"/>
    <w:rsid w:val="000F2880"/>
    <w:rsid w:val="000F293A"/>
    <w:rsid w:val="000F2E16"/>
    <w:rsid w:val="000F329F"/>
    <w:rsid w:val="000F44B1"/>
    <w:rsid w:val="000F530C"/>
    <w:rsid w:val="000F5310"/>
    <w:rsid w:val="000F649A"/>
    <w:rsid w:val="000F65FB"/>
    <w:rsid w:val="000F6E81"/>
    <w:rsid w:val="00100859"/>
    <w:rsid w:val="00100884"/>
    <w:rsid w:val="00100BCE"/>
    <w:rsid w:val="001010E1"/>
    <w:rsid w:val="0010185E"/>
    <w:rsid w:val="001027AC"/>
    <w:rsid w:val="00103BA3"/>
    <w:rsid w:val="0010405A"/>
    <w:rsid w:val="001057AA"/>
    <w:rsid w:val="001109AC"/>
    <w:rsid w:val="001109BC"/>
    <w:rsid w:val="00110E02"/>
    <w:rsid w:val="00112685"/>
    <w:rsid w:val="00112BBF"/>
    <w:rsid w:val="00114425"/>
    <w:rsid w:val="00114964"/>
    <w:rsid w:val="00114A82"/>
    <w:rsid w:val="001161CB"/>
    <w:rsid w:val="00117718"/>
    <w:rsid w:val="001208AE"/>
    <w:rsid w:val="00120A33"/>
    <w:rsid w:val="00120BED"/>
    <w:rsid w:val="001214A1"/>
    <w:rsid w:val="00121F0E"/>
    <w:rsid w:val="00122EF2"/>
    <w:rsid w:val="001261C1"/>
    <w:rsid w:val="00126934"/>
    <w:rsid w:val="00126E1B"/>
    <w:rsid w:val="0012740B"/>
    <w:rsid w:val="00131121"/>
    <w:rsid w:val="00131AC0"/>
    <w:rsid w:val="00133D18"/>
    <w:rsid w:val="00134A2A"/>
    <w:rsid w:val="00134DFB"/>
    <w:rsid w:val="0014039E"/>
    <w:rsid w:val="00141D57"/>
    <w:rsid w:val="00142278"/>
    <w:rsid w:val="0014420A"/>
    <w:rsid w:val="00145271"/>
    <w:rsid w:val="00147E65"/>
    <w:rsid w:val="00147F20"/>
    <w:rsid w:val="001505DD"/>
    <w:rsid w:val="00153692"/>
    <w:rsid w:val="00153EA2"/>
    <w:rsid w:val="001540F3"/>
    <w:rsid w:val="00157AFF"/>
    <w:rsid w:val="001613AA"/>
    <w:rsid w:val="00161CBD"/>
    <w:rsid w:val="00165969"/>
    <w:rsid w:val="00165995"/>
    <w:rsid w:val="00166ADD"/>
    <w:rsid w:val="00167171"/>
    <w:rsid w:val="00170A24"/>
    <w:rsid w:val="00171683"/>
    <w:rsid w:val="00171DFE"/>
    <w:rsid w:val="00173AC1"/>
    <w:rsid w:val="00174DD5"/>
    <w:rsid w:val="00180455"/>
    <w:rsid w:val="001804E1"/>
    <w:rsid w:val="00183F13"/>
    <w:rsid w:val="00190559"/>
    <w:rsid w:val="00190F85"/>
    <w:rsid w:val="00192C0E"/>
    <w:rsid w:val="00194059"/>
    <w:rsid w:val="0019692F"/>
    <w:rsid w:val="001A049E"/>
    <w:rsid w:val="001A0A74"/>
    <w:rsid w:val="001A18C9"/>
    <w:rsid w:val="001A1CD7"/>
    <w:rsid w:val="001A1E87"/>
    <w:rsid w:val="001A2440"/>
    <w:rsid w:val="001A2EBD"/>
    <w:rsid w:val="001A575D"/>
    <w:rsid w:val="001A5946"/>
    <w:rsid w:val="001A74D5"/>
    <w:rsid w:val="001A76A6"/>
    <w:rsid w:val="001B25FA"/>
    <w:rsid w:val="001B3D5F"/>
    <w:rsid w:val="001B40C2"/>
    <w:rsid w:val="001B65AC"/>
    <w:rsid w:val="001B704D"/>
    <w:rsid w:val="001B7769"/>
    <w:rsid w:val="001B7BE4"/>
    <w:rsid w:val="001C03D2"/>
    <w:rsid w:val="001C1773"/>
    <w:rsid w:val="001C1C77"/>
    <w:rsid w:val="001C26D3"/>
    <w:rsid w:val="001C53E1"/>
    <w:rsid w:val="001C57A1"/>
    <w:rsid w:val="001C6FE7"/>
    <w:rsid w:val="001C722E"/>
    <w:rsid w:val="001C7360"/>
    <w:rsid w:val="001D0DA0"/>
    <w:rsid w:val="001D122D"/>
    <w:rsid w:val="001D267C"/>
    <w:rsid w:val="001D5F8A"/>
    <w:rsid w:val="001D61F1"/>
    <w:rsid w:val="001D755D"/>
    <w:rsid w:val="001E006C"/>
    <w:rsid w:val="001E178E"/>
    <w:rsid w:val="001E1A60"/>
    <w:rsid w:val="001E2932"/>
    <w:rsid w:val="001E3DEB"/>
    <w:rsid w:val="001E3E5A"/>
    <w:rsid w:val="001E4551"/>
    <w:rsid w:val="001E4D76"/>
    <w:rsid w:val="001E4EC1"/>
    <w:rsid w:val="001E698F"/>
    <w:rsid w:val="001F0030"/>
    <w:rsid w:val="001F0DC1"/>
    <w:rsid w:val="001F2800"/>
    <w:rsid w:val="001F2B32"/>
    <w:rsid w:val="001F3150"/>
    <w:rsid w:val="001F3E6F"/>
    <w:rsid w:val="001F43B0"/>
    <w:rsid w:val="001F48EA"/>
    <w:rsid w:val="001F57BC"/>
    <w:rsid w:val="001F71C0"/>
    <w:rsid w:val="001F79FD"/>
    <w:rsid w:val="001F7BBE"/>
    <w:rsid w:val="00200608"/>
    <w:rsid w:val="00202FC6"/>
    <w:rsid w:val="0020479C"/>
    <w:rsid w:val="00204E62"/>
    <w:rsid w:val="00206598"/>
    <w:rsid w:val="002067EA"/>
    <w:rsid w:val="00207132"/>
    <w:rsid w:val="00207CC7"/>
    <w:rsid w:val="00210525"/>
    <w:rsid w:val="002105F5"/>
    <w:rsid w:val="0021067F"/>
    <w:rsid w:val="00211225"/>
    <w:rsid w:val="00212989"/>
    <w:rsid w:val="002131E5"/>
    <w:rsid w:val="0021396F"/>
    <w:rsid w:val="00213B02"/>
    <w:rsid w:val="00217793"/>
    <w:rsid w:val="00220561"/>
    <w:rsid w:val="00221844"/>
    <w:rsid w:val="002226B0"/>
    <w:rsid w:val="00222A69"/>
    <w:rsid w:val="0022485C"/>
    <w:rsid w:val="00226043"/>
    <w:rsid w:val="002302D4"/>
    <w:rsid w:val="00231078"/>
    <w:rsid w:val="00231CE6"/>
    <w:rsid w:val="00232A6A"/>
    <w:rsid w:val="00232CEE"/>
    <w:rsid w:val="0023412A"/>
    <w:rsid w:val="00234F60"/>
    <w:rsid w:val="00234FEA"/>
    <w:rsid w:val="00235EAE"/>
    <w:rsid w:val="00237F7D"/>
    <w:rsid w:val="00240F2A"/>
    <w:rsid w:val="00242CBD"/>
    <w:rsid w:val="002431CC"/>
    <w:rsid w:val="00243BCB"/>
    <w:rsid w:val="00243F80"/>
    <w:rsid w:val="00245CCB"/>
    <w:rsid w:val="00246E70"/>
    <w:rsid w:val="002505CF"/>
    <w:rsid w:val="00250A5F"/>
    <w:rsid w:val="00253AFF"/>
    <w:rsid w:val="00254791"/>
    <w:rsid w:val="00257671"/>
    <w:rsid w:val="002578C5"/>
    <w:rsid w:val="00257D90"/>
    <w:rsid w:val="002610C3"/>
    <w:rsid w:val="002610F5"/>
    <w:rsid w:val="0026120D"/>
    <w:rsid w:val="00261759"/>
    <w:rsid w:val="002620C2"/>
    <w:rsid w:val="00262176"/>
    <w:rsid w:val="00263304"/>
    <w:rsid w:val="0026390A"/>
    <w:rsid w:val="00264D4E"/>
    <w:rsid w:val="002658DC"/>
    <w:rsid w:val="00265F1D"/>
    <w:rsid w:val="00270D2F"/>
    <w:rsid w:val="00271E19"/>
    <w:rsid w:val="00273B42"/>
    <w:rsid w:val="0027422B"/>
    <w:rsid w:val="002761CF"/>
    <w:rsid w:val="00276848"/>
    <w:rsid w:val="002773E9"/>
    <w:rsid w:val="00277F2F"/>
    <w:rsid w:val="00280051"/>
    <w:rsid w:val="00280117"/>
    <w:rsid w:val="002822E4"/>
    <w:rsid w:val="00282645"/>
    <w:rsid w:val="0028633D"/>
    <w:rsid w:val="00286704"/>
    <w:rsid w:val="0029400C"/>
    <w:rsid w:val="00294795"/>
    <w:rsid w:val="00297C19"/>
    <w:rsid w:val="002A0E5A"/>
    <w:rsid w:val="002A10AE"/>
    <w:rsid w:val="002A462D"/>
    <w:rsid w:val="002A4D96"/>
    <w:rsid w:val="002A5237"/>
    <w:rsid w:val="002A6336"/>
    <w:rsid w:val="002A6455"/>
    <w:rsid w:val="002B0476"/>
    <w:rsid w:val="002B047D"/>
    <w:rsid w:val="002B11DF"/>
    <w:rsid w:val="002B5009"/>
    <w:rsid w:val="002B7A67"/>
    <w:rsid w:val="002C0038"/>
    <w:rsid w:val="002C20DD"/>
    <w:rsid w:val="002C26D9"/>
    <w:rsid w:val="002C2A2C"/>
    <w:rsid w:val="002C364E"/>
    <w:rsid w:val="002C4A8E"/>
    <w:rsid w:val="002C4FBF"/>
    <w:rsid w:val="002C62A4"/>
    <w:rsid w:val="002C6441"/>
    <w:rsid w:val="002C724A"/>
    <w:rsid w:val="002C77BC"/>
    <w:rsid w:val="002C7BB9"/>
    <w:rsid w:val="002C7DE1"/>
    <w:rsid w:val="002D0C09"/>
    <w:rsid w:val="002D173D"/>
    <w:rsid w:val="002D21DE"/>
    <w:rsid w:val="002D33B9"/>
    <w:rsid w:val="002D38FF"/>
    <w:rsid w:val="002D3A18"/>
    <w:rsid w:val="002D403C"/>
    <w:rsid w:val="002D582A"/>
    <w:rsid w:val="002D5933"/>
    <w:rsid w:val="002E1035"/>
    <w:rsid w:val="002E1AEB"/>
    <w:rsid w:val="002E1BCD"/>
    <w:rsid w:val="002E2AE9"/>
    <w:rsid w:val="002E2F33"/>
    <w:rsid w:val="002E36AA"/>
    <w:rsid w:val="002E46E0"/>
    <w:rsid w:val="002E60B9"/>
    <w:rsid w:val="002E64F4"/>
    <w:rsid w:val="002E72A4"/>
    <w:rsid w:val="002E7DFE"/>
    <w:rsid w:val="002F059A"/>
    <w:rsid w:val="002F1393"/>
    <w:rsid w:val="002F2473"/>
    <w:rsid w:val="002F29AD"/>
    <w:rsid w:val="002F322E"/>
    <w:rsid w:val="002F3B78"/>
    <w:rsid w:val="002F40C7"/>
    <w:rsid w:val="002F41EF"/>
    <w:rsid w:val="002F57FC"/>
    <w:rsid w:val="00300FF8"/>
    <w:rsid w:val="0030146E"/>
    <w:rsid w:val="00302076"/>
    <w:rsid w:val="0030286B"/>
    <w:rsid w:val="003036DD"/>
    <w:rsid w:val="003037CD"/>
    <w:rsid w:val="00303C2D"/>
    <w:rsid w:val="0030514B"/>
    <w:rsid w:val="003052A9"/>
    <w:rsid w:val="00306149"/>
    <w:rsid w:val="00306F2D"/>
    <w:rsid w:val="00310516"/>
    <w:rsid w:val="00310852"/>
    <w:rsid w:val="00310B6B"/>
    <w:rsid w:val="00310E22"/>
    <w:rsid w:val="00310FBF"/>
    <w:rsid w:val="00313443"/>
    <w:rsid w:val="00313611"/>
    <w:rsid w:val="00313F6F"/>
    <w:rsid w:val="00320129"/>
    <w:rsid w:val="003215B2"/>
    <w:rsid w:val="0032184C"/>
    <w:rsid w:val="00322A1C"/>
    <w:rsid w:val="00322DD8"/>
    <w:rsid w:val="00323413"/>
    <w:rsid w:val="00324303"/>
    <w:rsid w:val="00325D56"/>
    <w:rsid w:val="003262FD"/>
    <w:rsid w:val="0032694C"/>
    <w:rsid w:val="00327E6B"/>
    <w:rsid w:val="00330A68"/>
    <w:rsid w:val="00333A4F"/>
    <w:rsid w:val="00333A9C"/>
    <w:rsid w:val="00333C59"/>
    <w:rsid w:val="00334A5E"/>
    <w:rsid w:val="00335BD9"/>
    <w:rsid w:val="00335C6F"/>
    <w:rsid w:val="00336EAF"/>
    <w:rsid w:val="003375D9"/>
    <w:rsid w:val="00341474"/>
    <w:rsid w:val="00341C58"/>
    <w:rsid w:val="003426D7"/>
    <w:rsid w:val="00343E05"/>
    <w:rsid w:val="00344056"/>
    <w:rsid w:val="003460BD"/>
    <w:rsid w:val="0034701C"/>
    <w:rsid w:val="003475D7"/>
    <w:rsid w:val="003478B5"/>
    <w:rsid w:val="00350C34"/>
    <w:rsid w:val="00351259"/>
    <w:rsid w:val="00351DEB"/>
    <w:rsid w:val="0035209B"/>
    <w:rsid w:val="00353170"/>
    <w:rsid w:val="00354739"/>
    <w:rsid w:val="00355238"/>
    <w:rsid w:val="00357672"/>
    <w:rsid w:val="003603DF"/>
    <w:rsid w:val="00360976"/>
    <w:rsid w:val="00360F81"/>
    <w:rsid w:val="00361D43"/>
    <w:rsid w:val="003629C8"/>
    <w:rsid w:val="00362C7D"/>
    <w:rsid w:val="0036309D"/>
    <w:rsid w:val="00364198"/>
    <w:rsid w:val="0036499E"/>
    <w:rsid w:val="00366540"/>
    <w:rsid w:val="0036666E"/>
    <w:rsid w:val="0036722D"/>
    <w:rsid w:val="00367263"/>
    <w:rsid w:val="003672A6"/>
    <w:rsid w:val="00371AA3"/>
    <w:rsid w:val="0037391C"/>
    <w:rsid w:val="00373BD9"/>
    <w:rsid w:val="00375EA2"/>
    <w:rsid w:val="003760FD"/>
    <w:rsid w:val="00376DAF"/>
    <w:rsid w:val="00380FBD"/>
    <w:rsid w:val="0038113D"/>
    <w:rsid w:val="00381885"/>
    <w:rsid w:val="00383E38"/>
    <w:rsid w:val="0038518F"/>
    <w:rsid w:val="00386A31"/>
    <w:rsid w:val="00387CB7"/>
    <w:rsid w:val="00390355"/>
    <w:rsid w:val="00390A1C"/>
    <w:rsid w:val="00391626"/>
    <w:rsid w:val="00391A40"/>
    <w:rsid w:val="00391A50"/>
    <w:rsid w:val="00391AEF"/>
    <w:rsid w:val="00391E70"/>
    <w:rsid w:val="00394772"/>
    <w:rsid w:val="0039494B"/>
    <w:rsid w:val="00395B73"/>
    <w:rsid w:val="00397048"/>
    <w:rsid w:val="003A0454"/>
    <w:rsid w:val="003A0746"/>
    <w:rsid w:val="003A3DE1"/>
    <w:rsid w:val="003A43EB"/>
    <w:rsid w:val="003A4B19"/>
    <w:rsid w:val="003A5010"/>
    <w:rsid w:val="003A7252"/>
    <w:rsid w:val="003A7A7D"/>
    <w:rsid w:val="003B1851"/>
    <w:rsid w:val="003B19BD"/>
    <w:rsid w:val="003B220D"/>
    <w:rsid w:val="003B4A5B"/>
    <w:rsid w:val="003B5D37"/>
    <w:rsid w:val="003B6047"/>
    <w:rsid w:val="003B6460"/>
    <w:rsid w:val="003B6A15"/>
    <w:rsid w:val="003B76D5"/>
    <w:rsid w:val="003C04DE"/>
    <w:rsid w:val="003C0781"/>
    <w:rsid w:val="003C13EE"/>
    <w:rsid w:val="003C1AD5"/>
    <w:rsid w:val="003C21DB"/>
    <w:rsid w:val="003C3B75"/>
    <w:rsid w:val="003C4E7D"/>
    <w:rsid w:val="003C5F83"/>
    <w:rsid w:val="003C60FC"/>
    <w:rsid w:val="003C6732"/>
    <w:rsid w:val="003C76B9"/>
    <w:rsid w:val="003D2C4B"/>
    <w:rsid w:val="003D375F"/>
    <w:rsid w:val="003D5192"/>
    <w:rsid w:val="003D6B6B"/>
    <w:rsid w:val="003D7051"/>
    <w:rsid w:val="003D753C"/>
    <w:rsid w:val="003E0169"/>
    <w:rsid w:val="003E03D1"/>
    <w:rsid w:val="003E31B3"/>
    <w:rsid w:val="003E3540"/>
    <w:rsid w:val="003E39E5"/>
    <w:rsid w:val="003E7B55"/>
    <w:rsid w:val="003F0932"/>
    <w:rsid w:val="003F1683"/>
    <w:rsid w:val="003F20B1"/>
    <w:rsid w:val="003F21DE"/>
    <w:rsid w:val="003F342E"/>
    <w:rsid w:val="003F5234"/>
    <w:rsid w:val="003F53DC"/>
    <w:rsid w:val="003F715E"/>
    <w:rsid w:val="003F78BA"/>
    <w:rsid w:val="00401B57"/>
    <w:rsid w:val="004024FC"/>
    <w:rsid w:val="0040287E"/>
    <w:rsid w:val="00403107"/>
    <w:rsid w:val="004059F5"/>
    <w:rsid w:val="00405FC4"/>
    <w:rsid w:val="0040604E"/>
    <w:rsid w:val="0040741A"/>
    <w:rsid w:val="00407FEA"/>
    <w:rsid w:val="0041063A"/>
    <w:rsid w:val="00410C91"/>
    <w:rsid w:val="0041123F"/>
    <w:rsid w:val="0041163C"/>
    <w:rsid w:val="00411766"/>
    <w:rsid w:val="00413377"/>
    <w:rsid w:val="00413FA6"/>
    <w:rsid w:val="00414434"/>
    <w:rsid w:val="00414D0C"/>
    <w:rsid w:val="00415992"/>
    <w:rsid w:val="00416229"/>
    <w:rsid w:val="00423E58"/>
    <w:rsid w:val="00425824"/>
    <w:rsid w:val="00426D8F"/>
    <w:rsid w:val="00427439"/>
    <w:rsid w:val="004316FD"/>
    <w:rsid w:val="00432B1C"/>
    <w:rsid w:val="004334DE"/>
    <w:rsid w:val="004346AE"/>
    <w:rsid w:val="00435507"/>
    <w:rsid w:val="00437166"/>
    <w:rsid w:val="004372E9"/>
    <w:rsid w:val="004376A5"/>
    <w:rsid w:val="0044011E"/>
    <w:rsid w:val="00440CDB"/>
    <w:rsid w:val="00441115"/>
    <w:rsid w:val="004411C0"/>
    <w:rsid w:val="0044157B"/>
    <w:rsid w:val="0044240B"/>
    <w:rsid w:val="00442728"/>
    <w:rsid w:val="00443D3F"/>
    <w:rsid w:val="00444120"/>
    <w:rsid w:val="0044461A"/>
    <w:rsid w:val="004449A9"/>
    <w:rsid w:val="00445CDA"/>
    <w:rsid w:val="00445E3F"/>
    <w:rsid w:val="00450295"/>
    <w:rsid w:val="0045183B"/>
    <w:rsid w:val="00451C55"/>
    <w:rsid w:val="004526FB"/>
    <w:rsid w:val="004529B5"/>
    <w:rsid w:val="004529BC"/>
    <w:rsid w:val="00453D7B"/>
    <w:rsid w:val="00454333"/>
    <w:rsid w:val="00454DFA"/>
    <w:rsid w:val="004556E3"/>
    <w:rsid w:val="00455E40"/>
    <w:rsid w:val="00456AAA"/>
    <w:rsid w:val="00456E2B"/>
    <w:rsid w:val="004613E6"/>
    <w:rsid w:val="00461F7C"/>
    <w:rsid w:val="00462784"/>
    <w:rsid w:val="004627F0"/>
    <w:rsid w:val="00464298"/>
    <w:rsid w:val="00464BC1"/>
    <w:rsid w:val="00465CC7"/>
    <w:rsid w:val="00466AFE"/>
    <w:rsid w:val="00466E3C"/>
    <w:rsid w:val="00467E50"/>
    <w:rsid w:val="00471A66"/>
    <w:rsid w:val="004720D1"/>
    <w:rsid w:val="00473649"/>
    <w:rsid w:val="0047590A"/>
    <w:rsid w:val="00475BC7"/>
    <w:rsid w:val="00477666"/>
    <w:rsid w:val="004776C0"/>
    <w:rsid w:val="004778A0"/>
    <w:rsid w:val="00480BC9"/>
    <w:rsid w:val="004820A4"/>
    <w:rsid w:val="00482640"/>
    <w:rsid w:val="0048352E"/>
    <w:rsid w:val="0048404F"/>
    <w:rsid w:val="004845A1"/>
    <w:rsid w:val="00487043"/>
    <w:rsid w:val="00490E32"/>
    <w:rsid w:val="00492D6A"/>
    <w:rsid w:val="004931CF"/>
    <w:rsid w:val="004932A2"/>
    <w:rsid w:val="0049376C"/>
    <w:rsid w:val="004950BD"/>
    <w:rsid w:val="00495591"/>
    <w:rsid w:val="00495706"/>
    <w:rsid w:val="00495D4A"/>
    <w:rsid w:val="0049630E"/>
    <w:rsid w:val="00497054"/>
    <w:rsid w:val="004971D3"/>
    <w:rsid w:val="004A015B"/>
    <w:rsid w:val="004A1A29"/>
    <w:rsid w:val="004A23DC"/>
    <w:rsid w:val="004A2424"/>
    <w:rsid w:val="004A262F"/>
    <w:rsid w:val="004A37AA"/>
    <w:rsid w:val="004A37FA"/>
    <w:rsid w:val="004A3BAD"/>
    <w:rsid w:val="004A437E"/>
    <w:rsid w:val="004A4ED6"/>
    <w:rsid w:val="004A527D"/>
    <w:rsid w:val="004A6665"/>
    <w:rsid w:val="004A6A49"/>
    <w:rsid w:val="004A7F83"/>
    <w:rsid w:val="004B2494"/>
    <w:rsid w:val="004B3B4F"/>
    <w:rsid w:val="004B487B"/>
    <w:rsid w:val="004B606F"/>
    <w:rsid w:val="004C0DB0"/>
    <w:rsid w:val="004C1950"/>
    <w:rsid w:val="004C2323"/>
    <w:rsid w:val="004C29B8"/>
    <w:rsid w:val="004C2A8C"/>
    <w:rsid w:val="004C3DB2"/>
    <w:rsid w:val="004C4275"/>
    <w:rsid w:val="004C62CC"/>
    <w:rsid w:val="004C67AB"/>
    <w:rsid w:val="004D09FD"/>
    <w:rsid w:val="004D1A19"/>
    <w:rsid w:val="004D1D75"/>
    <w:rsid w:val="004D3C13"/>
    <w:rsid w:val="004D67FD"/>
    <w:rsid w:val="004E0017"/>
    <w:rsid w:val="004E3B0A"/>
    <w:rsid w:val="004E4314"/>
    <w:rsid w:val="004E7109"/>
    <w:rsid w:val="004F0639"/>
    <w:rsid w:val="004F1903"/>
    <w:rsid w:val="004F19B4"/>
    <w:rsid w:val="004F20E8"/>
    <w:rsid w:val="004F2252"/>
    <w:rsid w:val="004F24A6"/>
    <w:rsid w:val="004F256A"/>
    <w:rsid w:val="004F362A"/>
    <w:rsid w:val="004F66B5"/>
    <w:rsid w:val="004F6FCA"/>
    <w:rsid w:val="004F744A"/>
    <w:rsid w:val="004F7F6A"/>
    <w:rsid w:val="00500064"/>
    <w:rsid w:val="00500CB9"/>
    <w:rsid w:val="005017DC"/>
    <w:rsid w:val="00501CF8"/>
    <w:rsid w:val="005031B4"/>
    <w:rsid w:val="0050370E"/>
    <w:rsid w:val="0050397C"/>
    <w:rsid w:val="00503B58"/>
    <w:rsid w:val="00503D0B"/>
    <w:rsid w:val="00505A8F"/>
    <w:rsid w:val="00505EE6"/>
    <w:rsid w:val="00506856"/>
    <w:rsid w:val="005079F6"/>
    <w:rsid w:val="00507A7F"/>
    <w:rsid w:val="005117F0"/>
    <w:rsid w:val="005126E7"/>
    <w:rsid w:val="00512DE1"/>
    <w:rsid w:val="005131B8"/>
    <w:rsid w:val="00513C6C"/>
    <w:rsid w:val="00513EB3"/>
    <w:rsid w:val="005146C3"/>
    <w:rsid w:val="00514DF2"/>
    <w:rsid w:val="00515BB0"/>
    <w:rsid w:val="00516963"/>
    <w:rsid w:val="005174E2"/>
    <w:rsid w:val="005210E3"/>
    <w:rsid w:val="00521677"/>
    <w:rsid w:val="00522292"/>
    <w:rsid w:val="00522961"/>
    <w:rsid w:val="005236F8"/>
    <w:rsid w:val="00523E83"/>
    <w:rsid w:val="00526F98"/>
    <w:rsid w:val="0052798B"/>
    <w:rsid w:val="00527BC3"/>
    <w:rsid w:val="0053140F"/>
    <w:rsid w:val="00533318"/>
    <w:rsid w:val="00533499"/>
    <w:rsid w:val="0053451E"/>
    <w:rsid w:val="005353B8"/>
    <w:rsid w:val="00535B92"/>
    <w:rsid w:val="005362B2"/>
    <w:rsid w:val="00536626"/>
    <w:rsid w:val="005376C4"/>
    <w:rsid w:val="005377D8"/>
    <w:rsid w:val="005413B6"/>
    <w:rsid w:val="00543083"/>
    <w:rsid w:val="005441D9"/>
    <w:rsid w:val="005443C3"/>
    <w:rsid w:val="005445F6"/>
    <w:rsid w:val="0054463C"/>
    <w:rsid w:val="0054629B"/>
    <w:rsid w:val="0054643A"/>
    <w:rsid w:val="00547313"/>
    <w:rsid w:val="0054751C"/>
    <w:rsid w:val="005525D3"/>
    <w:rsid w:val="00552BBB"/>
    <w:rsid w:val="005531D6"/>
    <w:rsid w:val="005533C7"/>
    <w:rsid w:val="005541A9"/>
    <w:rsid w:val="00554C40"/>
    <w:rsid w:val="00554ECC"/>
    <w:rsid w:val="00554FB1"/>
    <w:rsid w:val="0055625C"/>
    <w:rsid w:val="00556CD8"/>
    <w:rsid w:val="00557278"/>
    <w:rsid w:val="00557986"/>
    <w:rsid w:val="00557BE9"/>
    <w:rsid w:val="00557E3A"/>
    <w:rsid w:val="00561E1D"/>
    <w:rsid w:val="00562014"/>
    <w:rsid w:val="00563EB5"/>
    <w:rsid w:val="00570140"/>
    <w:rsid w:val="005703FF"/>
    <w:rsid w:val="00570586"/>
    <w:rsid w:val="0057327E"/>
    <w:rsid w:val="00574DD2"/>
    <w:rsid w:val="00575215"/>
    <w:rsid w:val="0057788E"/>
    <w:rsid w:val="00581ECE"/>
    <w:rsid w:val="00582463"/>
    <w:rsid w:val="00582CEF"/>
    <w:rsid w:val="00582E41"/>
    <w:rsid w:val="005833AE"/>
    <w:rsid w:val="0058394B"/>
    <w:rsid w:val="005878C6"/>
    <w:rsid w:val="00587E09"/>
    <w:rsid w:val="00590587"/>
    <w:rsid w:val="00591FCF"/>
    <w:rsid w:val="00593AFA"/>
    <w:rsid w:val="00593EC4"/>
    <w:rsid w:val="00594929"/>
    <w:rsid w:val="00594E99"/>
    <w:rsid w:val="00596234"/>
    <w:rsid w:val="00597D06"/>
    <w:rsid w:val="005A2852"/>
    <w:rsid w:val="005A4054"/>
    <w:rsid w:val="005A4585"/>
    <w:rsid w:val="005A494A"/>
    <w:rsid w:val="005A4A06"/>
    <w:rsid w:val="005A6156"/>
    <w:rsid w:val="005B0D66"/>
    <w:rsid w:val="005B1E88"/>
    <w:rsid w:val="005B3091"/>
    <w:rsid w:val="005B3259"/>
    <w:rsid w:val="005B46C2"/>
    <w:rsid w:val="005B47C3"/>
    <w:rsid w:val="005B4BF9"/>
    <w:rsid w:val="005B6427"/>
    <w:rsid w:val="005B77A6"/>
    <w:rsid w:val="005B7CBC"/>
    <w:rsid w:val="005C0B5C"/>
    <w:rsid w:val="005C1AAA"/>
    <w:rsid w:val="005C205F"/>
    <w:rsid w:val="005C22E3"/>
    <w:rsid w:val="005C3301"/>
    <w:rsid w:val="005C6EB4"/>
    <w:rsid w:val="005C71BF"/>
    <w:rsid w:val="005C74D8"/>
    <w:rsid w:val="005C79D6"/>
    <w:rsid w:val="005D0629"/>
    <w:rsid w:val="005D0999"/>
    <w:rsid w:val="005D113A"/>
    <w:rsid w:val="005D197E"/>
    <w:rsid w:val="005D2D0E"/>
    <w:rsid w:val="005D42AB"/>
    <w:rsid w:val="005D4B52"/>
    <w:rsid w:val="005D4FE0"/>
    <w:rsid w:val="005D50B5"/>
    <w:rsid w:val="005D5A6D"/>
    <w:rsid w:val="005D5FDB"/>
    <w:rsid w:val="005D6021"/>
    <w:rsid w:val="005D66C7"/>
    <w:rsid w:val="005D6843"/>
    <w:rsid w:val="005D6DE9"/>
    <w:rsid w:val="005D7E11"/>
    <w:rsid w:val="005E057A"/>
    <w:rsid w:val="005E063D"/>
    <w:rsid w:val="005E168C"/>
    <w:rsid w:val="005E1C20"/>
    <w:rsid w:val="005E2526"/>
    <w:rsid w:val="005E267B"/>
    <w:rsid w:val="005E42ED"/>
    <w:rsid w:val="005E486F"/>
    <w:rsid w:val="005E48E4"/>
    <w:rsid w:val="005E5460"/>
    <w:rsid w:val="005E58E4"/>
    <w:rsid w:val="005E5E48"/>
    <w:rsid w:val="005E5F7D"/>
    <w:rsid w:val="005E6413"/>
    <w:rsid w:val="005E7A41"/>
    <w:rsid w:val="005E7D0C"/>
    <w:rsid w:val="005F0A15"/>
    <w:rsid w:val="005F0BB6"/>
    <w:rsid w:val="005F47D8"/>
    <w:rsid w:val="005F4E02"/>
    <w:rsid w:val="005F5F17"/>
    <w:rsid w:val="005F7170"/>
    <w:rsid w:val="005F7278"/>
    <w:rsid w:val="00600145"/>
    <w:rsid w:val="006009E4"/>
    <w:rsid w:val="006036F8"/>
    <w:rsid w:val="00603913"/>
    <w:rsid w:val="00604346"/>
    <w:rsid w:val="00604E8D"/>
    <w:rsid w:val="006062BB"/>
    <w:rsid w:val="00606999"/>
    <w:rsid w:val="0061052C"/>
    <w:rsid w:val="00610EF3"/>
    <w:rsid w:val="00611D6F"/>
    <w:rsid w:val="0061255F"/>
    <w:rsid w:val="00612D2E"/>
    <w:rsid w:val="006130D5"/>
    <w:rsid w:val="00616703"/>
    <w:rsid w:val="0062091B"/>
    <w:rsid w:val="00622DAE"/>
    <w:rsid w:val="0062320B"/>
    <w:rsid w:val="006233A4"/>
    <w:rsid w:val="0062456B"/>
    <w:rsid w:val="006251A2"/>
    <w:rsid w:val="006267EC"/>
    <w:rsid w:val="00626E83"/>
    <w:rsid w:val="006304EC"/>
    <w:rsid w:val="00632799"/>
    <w:rsid w:val="0063291B"/>
    <w:rsid w:val="00632AAF"/>
    <w:rsid w:val="00632D57"/>
    <w:rsid w:val="00632FF0"/>
    <w:rsid w:val="006334BD"/>
    <w:rsid w:val="00634A3F"/>
    <w:rsid w:val="00634BA3"/>
    <w:rsid w:val="00635900"/>
    <w:rsid w:val="00635BE7"/>
    <w:rsid w:val="00637768"/>
    <w:rsid w:val="00640A32"/>
    <w:rsid w:val="00640ED3"/>
    <w:rsid w:val="00640F4C"/>
    <w:rsid w:val="00643EFA"/>
    <w:rsid w:val="006446E8"/>
    <w:rsid w:val="00644F6D"/>
    <w:rsid w:val="006457B6"/>
    <w:rsid w:val="00650A03"/>
    <w:rsid w:val="00651600"/>
    <w:rsid w:val="006527F0"/>
    <w:rsid w:val="006540D7"/>
    <w:rsid w:val="00654465"/>
    <w:rsid w:val="00654C9C"/>
    <w:rsid w:val="00655E36"/>
    <w:rsid w:val="00655EF7"/>
    <w:rsid w:val="00655F4E"/>
    <w:rsid w:val="0065724D"/>
    <w:rsid w:val="00657513"/>
    <w:rsid w:val="00657EFF"/>
    <w:rsid w:val="00660F1E"/>
    <w:rsid w:val="006701C9"/>
    <w:rsid w:val="006726A3"/>
    <w:rsid w:val="00673441"/>
    <w:rsid w:val="00674C14"/>
    <w:rsid w:val="00676E59"/>
    <w:rsid w:val="0067785B"/>
    <w:rsid w:val="00677CAE"/>
    <w:rsid w:val="00680288"/>
    <w:rsid w:val="00680664"/>
    <w:rsid w:val="00680840"/>
    <w:rsid w:val="00680EF3"/>
    <w:rsid w:val="00681668"/>
    <w:rsid w:val="00683205"/>
    <w:rsid w:val="00685383"/>
    <w:rsid w:val="00685AA7"/>
    <w:rsid w:val="00686D88"/>
    <w:rsid w:val="0068788B"/>
    <w:rsid w:val="00687967"/>
    <w:rsid w:val="006906A8"/>
    <w:rsid w:val="006906E7"/>
    <w:rsid w:val="00692041"/>
    <w:rsid w:val="0069210F"/>
    <w:rsid w:val="00694E31"/>
    <w:rsid w:val="006956E9"/>
    <w:rsid w:val="00696FCB"/>
    <w:rsid w:val="006A0E82"/>
    <w:rsid w:val="006A10D3"/>
    <w:rsid w:val="006A14AD"/>
    <w:rsid w:val="006A38E3"/>
    <w:rsid w:val="006A3AB6"/>
    <w:rsid w:val="006A42A4"/>
    <w:rsid w:val="006A4F7C"/>
    <w:rsid w:val="006A5017"/>
    <w:rsid w:val="006A55D7"/>
    <w:rsid w:val="006A55FF"/>
    <w:rsid w:val="006A635E"/>
    <w:rsid w:val="006A6B4A"/>
    <w:rsid w:val="006A7523"/>
    <w:rsid w:val="006B01BA"/>
    <w:rsid w:val="006B01C4"/>
    <w:rsid w:val="006B07C3"/>
    <w:rsid w:val="006B0BEF"/>
    <w:rsid w:val="006B21DF"/>
    <w:rsid w:val="006B25FC"/>
    <w:rsid w:val="006B2A5A"/>
    <w:rsid w:val="006B3073"/>
    <w:rsid w:val="006B407B"/>
    <w:rsid w:val="006B42C6"/>
    <w:rsid w:val="006B47E7"/>
    <w:rsid w:val="006B4C8E"/>
    <w:rsid w:val="006B50FF"/>
    <w:rsid w:val="006C021C"/>
    <w:rsid w:val="006C17D5"/>
    <w:rsid w:val="006C17F8"/>
    <w:rsid w:val="006C1B0E"/>
    <w:rsid w:val="006C3370"/>
    <w:rsid w:val="006C59C8"/>
    <w:rsid w:val="006C67F3"/>
    <w:rsid w:val="006C7656"/>
    <w:rsid w:val="006D0AE9"/>
    <w:rsid w:val="006D706C"/>
    <w:rsid w:val="006D7123"/>
    <w:rsid w:val="006D7A52"/>
    <w:rsid w:val="006E0ED1"/>
    <w:rsid w:val="006E11A6"/>
    <w:rsid w:val="006E1582"/>
    <w:rsid w:val="006E3BC4"/>
    <w:rsid w:val="006E3BD4"/>
    <w:rsid w:val="006E4418"/>
    <w:rsid w:val="006E4BB1"/>
    <w:rsid w:val="006E57FD"/>
    <w:rsid w:val="006E5E28"/>
    <w:rsid w:val="006E6716"/>
    <w:rsid w:val="006E6989"/>
    <w:rsid w:val="006E7747"/>
    <w:rsid w:val="006E79FE"/>
    <w:rsid w:val="006E7B95"/>
    <w:rsid w:val="006F08A6"/>
    <w:rsid w:val="006F18DA"/>
    <w:rsid w:val="006F1DED"/>
    <w:rsid w:val="006F1F81"/>
    <w:rsid w:val="006F211E"/>
    <w:rsid w:val="006F22F5"/>
    <w:rsid w:val="006F2747"/>
    <w:rsid w:val="006F3396"/>
    <w:rsid w:val="006F4F06"/>
    <w:rsid w:val="006F5499"/>
    <w:rsid w:val="006F6551"/>
    <w:rsid w:val="006F68C0"/>
    <w:rsid w:val="006F6B45"/>
    <w:rsid w:val="006F7938"/>
    <w:rsid w:val="00700DE9"/>
    <w:rsid w:val="00701A5A"/>
    <w:rsid w:val="00701F50"/>
    <w:rsid w:val="00704A35"/>
    <w:rsid w:val="00704AEA"/>
    <w:rsid w:val="0070549B"/>
    <w:rsid w:val="0070568D"/>
    <w:rsid w:val="00706A76"/>
    <w:rsid w:val="007079B7"/>
    <w:rsid w:val="0071243C"/>
    <w:rsid w:val="00714C19"/>
    <w:rsid w:val="0071560F"/>
    <w:rsid w:val="007163D2"/>
    <w:rsid w:val="00716CA0"/>
    <w:rsid w:val="00717B53"/>
    <w:rsid w:val="00720726"/>
    <w:rsid w:val="00720803"/>
    <w:rsid w:val="007210F9"/>
    <w:rsid w:val="0072156B"/>
    <w:rsid w:val="0072161E"/>
    <w:rsid w:val="00721E5D"/>
    <w:rsid w:val="0072360E"/>
    <w:rsid w:val="00723BA3"/>
    <w:rsid w:val="00724089"/>
    <w:rsid w:val="007243AA"/>
    <w:rsid w:val="00724B12"/>
    <w:rsid w:val="007257A8"/>
    <w:rsid w:val="007274E1"/>
    <w:rsid w:val="0073048C"/>
    <w:rsid w:val="00731709"/>
    <w:rsid w:val="00732572"/>
    <w:rsid w:val="00732678"/>
    <w:rsid w:val="00732FF8"/>
    <w:rsid w:val="00734169"/>
    <w:rsid w:val="00734C7C"/>
    <w:rsid w:val="00734E3D"/>
    <w:rsid w:val="007353FF"/>
    <w:rsid w:val="0073558F"/>
    <w:rsid w:val="00740F54"/>
    <w:rsid w:val="00741098"/>
    <w:rsid w:val="00741DBE"/>
    <w:rsid w:val="007423A1"/>
    <w:rsid w:val="00743363"/>
    <w:rsid w:val="00743B62"/>
    <w:rsid w:val="00743DF8"/>
    <w:rsid w:val="00744696"/>
    <w:rsid w:val="0074550D"/>
    <w:rsid w:val="007455BC"/>
    <w:rsid w:val="00752EAF"/>
    <w:rsid w:val="00754433"/>
    <w:rsid w:val="007569C3"/>
    <w:rsid w:val="00756C5C"/>
    <w:rsid w:val="0075719F"/>
    <w:rsid w:val="00757379"/>
    <w:rsid w:val="00760982"/>
    <w:rsid w:val="00760C54"/>
    <w:rsid w:val="00761383"/>
    <w:rsid w:val="0076238A"/>
    <w:rsid w:val="00762DED"/>
    <w:rsid w:val="0076453B"/>
    <w:rsid w:val="007654C9"/>
    <w:rsid w:val="0076561D"/>
    <w:rsid w:val="00766CF8"/>
    <w:rsid w:val="007672F3"/>
    <w:rsid w:val="007709F9"/>
    <w:rsid w:val="00771226"/>
    <w:rsid w:val="007714EB"/>
    <w:rsid w:val="007741A8"/>
    <w:rsid w:val="00774880"/>
    <w:rsid w:val="00775188"/>
    <w:rsid w:val="007760BA"/>
    <w:rsid w:val="007802A8"/>
    <w:rsid w:val="00781574"/>
    <w:rsid w:val="00781FE9"/>
    <w:rsid w:val="007836A5"/>
    <w:rsid w:val="00784204"/>
    <w:rsid w:val="007849DF"/>
    <w:rsid w:val="00785AC8"/>
    <w:rsid w:val="00787D4E"/>
    <w:rsid w:val="007908E5"/>
    <w:rsid w:val="007913C7"/>
    <w:rsid w:val="00791CE8"/>
    <w:rsid w:val="00792A95"/>
    <w:rsid w:val="007944CD"/>
    <w:rsid w:val="00794D57"/>
    <w:rsid w:val="007952BD"/>
    <w:rsid w:val="007964D0"/>
    <w:rsid w:val="00796F53"/>
    <w:rsid w:val="00797F41"/>
    <w:rsid w:val="007A0058"/>
    <w:rsid w:val="007A1064"/>
    <w:rsid w:val="007A1956"/>
    <w:rsid w:val="007A33F3"/>
    <w:rsid w:val="007A3F31"/>
    <w:rsid w:val="007A4611"/>
    <w:rsid w:val="007A4907"/>
    <w:rsid w:val="007A4B1B"/>
    <w:rsid w:val="007A5E6C"/>
    <w:rsid w:val="007A5F28"/>
    <w:rsid w:val="007A69B7"/>
    <w:rsid w:val="007A6B75"/>
    <w:rsid w:val="007A76A9"/>
    <w:rsid w:val="007A7969"/>
    <w:rsid w:val="007B0523"/>
    <w:rsid w:val="007B06F2"/>
    <w:rsid w:val="007B0FAE"/>
    <w:rsid w:val="007B1847"/>
    <w:rsid w:val="007B2DC4"/>
    <w:rsid w:val="007B5566"/>
    <w:rsid w:val="007B5DEB"/>
    <w:rsid w:val="007B5E80"/>
    <w:rsid w:val="007B6FBD"/>
    <w:rsid w:val="007C0180"/>
    <w:rsid w:val="007C08A8"/>
    <w:rsid w:val="007C1D4F"/>
    <w:rsid w:val="007C1E0D"/>
    <w:rsid w:val="007C1F06"/>
    <w:rsid w:val="007C206F"/>
    <w:rsid w:val="007C26A3"/>
    <w:rsid w:val="007C5380"/>
    <w:rsid w:val="007C63A8"/>
    <w:rsid w:val="007C721B"/>
    <w:rsid w:val="007C7922"/>
    <w:rsid w:val="007C7B6F"/>
    <w:rsid w:val="007C7BC8"/>
    <w:rsid w:val="007D00C1"/>
    <w:rsid w:val="007D048E"/>
    <w:rsid w:val="007D0F61"/>
    <w:rsid w:val="007D14AF"/>
    <w:rsid w:val="007D3038"/>
    <w:rsid w:val="007D306B"/>
    <w:rsid w:val="007D3FAB"/>
    <w:rsid w:val="007D6151"/>
    <w:rsid w:val="007D76CB"/>
    <w:rsid w:val="007D7DD1"/>
    <w:rsid w:val="007E04A4"/>
    <w:rsid w:val="007E04EC"/>
    <w:rsid w:val="007E0876"/>
    <w:rsid w:val="007E0B62"/>
    <w:rsid w:val="007E106C"/>
    <w:rsid w:val="007E160D"/>
    <w:rsid w:val="007E1D40"/>
    <w:rsid w:val="007E221F"/>
    <w:rsid w:val="007E2539"/>
    <w:rsid w:val="007E265B"/>
    <w:rsid w:val="007E33BF"/>
    <w:rsid w:val="007E3A4C"/>
    <w:rsid w:val="007E4E0A"/>
    <w:rsid w:val="007E56FA"/>
    <w:rsid w:val="007E5E7F"/>
    <w:rsid w:val="007E680A"/>
    <w:rsid w:val="007E6F29"/>
    <w:rsid w:val="007E713F"/>
    <w:rsid w:val="007F1630"/>
    <w:rsid w:val="007F20D4"/>
    <w:rsid w:val="007F22BC"/>
    <w:rsid w:val="007F270D"/>
    <w:rsid w:val="007F2CB1"/>
    <w:rsid w:val="007F33FD"/>
    <w:rsid w:val="007F3CBA"/>
    <w:rsid w:val="007F3F7A"/>
    <w:rsid w:val="007F4784"/>
    <w:rsid w:val="007F48D7"/>
    <w:rsid w:val="007F7ED3"/>
    <w:rsid w:val="0080185F"/>
    <w:rsid w:val="00801D5E"/>
    <w:rsid w:val="00804B23"/>
    <w:rsid w:val="00804B48"/>
    <w:rsid w:val="00805CB4"/>
    <w:rsid w:val="00806281"/>
    <w:rsid w:val="008068D3"/>
    <w:rsid w:val="00807817"/>
    <w:rsid w:val="0081061D"/>
    <w:rsid w:val="008111BD"/>
    <w:rsid w:val="008112A9"/>
    <w:rsid w:val="00811550"/>
    <w:rsid w:val="00812E7D"/>
    <w:rsid w:val="008131D7"/>
    <w:rsid w:val="00813259"/>
    <w:rsid w:val="00815DF6"/>
    <w:rsid w:val="008160B2"/>
    <w:rsid w:val="008161C1"/>
    <w:rsid w:val="0081759F"/>
    <w:rsid w:val="008177EF"/>
    <w:rsid w:val="00820584"/>
    <w:rsid w:val="0082186B"/>
    <w:rsid w:val="00821F67"/>
    <w:rsid w:val="008226FA"/>
    <w:rsid w:val="008247DA"/>
    <w:rsid w:val="008255BA"/>
    <w:rsid w:val="00826185"/>
    <w:rsid w:val="00826545"/>
    <w:rsid w:val="00826B86"/>
    <w:rsid w:val="00832261"/>
    <w:rsid w:val="00833C2E"/>
    <w:rsid w:val="00834469"/>
    <w:rsid w:val="00836B73"/>
    <w:rsid w:val="008377F7"/>
    <w:rsid w:val="00837EFD"/>
    <w:rsid w:val="008414F1"/>
    <w:rsid w:val="008440F9"/>
    <w:rsid w:val="00845514"/>
    <w:rsid w:val="00846DCB"/>
    <w:rsid w:val="00850480"/>
    <w:rsid w:val="00850575"/>
    <w:rsid w:val="0085339E"/>
    <w:rsid w:val="008537FF"/>
    <w:rsid w:val="008557C7"/>
    <w:rsid w:val="00855F80"/>
    <w:rsid w:val="00856AF1"/>
    <w:rsid w:val="00856FB2"/>
    <w:rsid w:val="00857F46"/>
    <w:rsid w:val="00861134"/>
    <w:rsid w:val="008618B9"/>
    <w:rsid w:val="0086195A"/>
    <w:rsid w:val="008660AE"/>
    <w:rsid w:val="00867400"/>
    <w:rsid w:val="00867EB2"/>
    <w:rsid w:val="0087034D"/>
    <w:rsid w:val="00870622"/>
    <w:rsid w:val="00872C25"/>
    <w:rsid w:val="008730DC"/>
    <w:rsid w:val="00873EB2"/>
    <w:rsid w:val="00874984"/>
    <w:rsid w:val="00874D49"/>
    <w:rsid w:val="0087589E"/>
    <w:rsid w:val="008763DF"/>
    <w:rsid w:val="00876F95"/>
    <w:rsid w:val="008773B0"/>
    <w:rsid w:val="00877518"/>
    <w:rsid w:val="00877664"/>
    <w:rsid w:val="00877EE8"/>
    <w:rsid w:val="00880C6D"/>
    <w:rsid w:val="00881E3C"/>
    <w:rsid w:val="00881EC8"/>
    <w:rsid w:val="00883462"/>
    <w:rsid w:val="008865F8"/>
    <w:rsid w:val="00886AAA"/>
    <w:rsid w:val="00887566"/>
    <w:rsid w:val="00890DDA"/>
    <w:rsid w:val="008912D3"/>
    <w:rsid w:val="008915E5"/>
    <w:rsid w:val="008920BE"/>
    <w:rsid w:val="0089258B"/>
    <w:rsid w:val="00893D8F"/>
    <w:rsid w:val="0089422B"/>
    <w:rsid w:val="00894A4D"/>
    <w:rsid w:val="00894F9C"/>
    <w:rsid w:val="008A0A4A"/>
    <w:rsid w:val="008A2146"/>
    <w:rsid w:val="008A2284"/>
    <w:rsid w:val="008A228B"/>
    <w:rsid w:val="008A2C44"/>
    <w:rsid w:val="008A3880"/>
    <w:rsid w:val="008A47D6"/>
    <w:rsid w:val="008A4B40"/>
    <w:rsid w:val="008A5D4D"/>
    <w:rsid w:val="008A62C7"/>
    <w:rsid w:val="008A6609"/>
    <w:rsid w:val="008A6871"/>
    <w:rsid w:val="008A6CBA"/>
    <w:rsid w:val="008A7BE8"/>
    <w:rsid w:val="008B05E6"/>
    <w:rsid w:val="008B2AB1"/>
    <w:rsid w:val="008B2ABD"/>
    <w:rsid w:val="008B3CFD"/>
    <w:rsid w:val="008B4FCD"/>
    <w:rsid w:val="008B5DBC"/>
    <w:rsid w:val="008B6509"/>
    <w:rsid w:val="008B7748"/>
    <w:rsid w:val="008B7A69"/>
    <w:rsid w:val="008B7F9B"/>
    <w:rsid w:val="008C1670"/>
    <w:rsid w:val="008C1E7A"/>
    <w:rsid w:val="008C24E6"/>
    <w:rsid w:val="008C43DC"/>
    <w:rsid w:val="008C480E"/>
    <w:rsid w:val="008C50C1"/>
    <w:rsid w:val="008C5467"/>
    <w:rsid w:val="008C6E94"/>
    <w:rsid w:val="008C70EB"/>
    <w:rsid w:val="008C73A0"/>
    <w:rsid w:val="008D222B"/>
    <w:rsid w:val="008D26B3"/>
    <w:rsid w:val="008D2776"/>
    <w:rsid w:val="008D318D"/>
    <w:rsid w:val="008D559D"/>
    <w:rsid w:val="008D627A"/>
    <w:rsid w:val="008D7D3E"/>
    <w:rsid w:val="008E0C91"/>
    <w:rsid w:val="008E31D7"/>
    <w:rsid w:val="008E320B"/>
    <w:rsid w:val="008E4F8C"/>
    <w:rsid w:val="008E513F"/>
    <w:rsid w:val="008E7D7D"/>
    <w:rsid w:val="008F0A0E"/>
    <w:rsid w:val="008F0E12"/>
    <w:rsid w:val="008F1E1F"/>
    <w:rsid w:val="008F3C2A"/>
    <w:rsid w:val="008F3F05"/>
    <w:rsid w:val="008F574F"/>
    <w:rsid w:val="008F5BB2"/>
    <w:rsid w:val="008F63D3"/>
    <w:rsid w:val="008F6CE2"/>
    <w:rsid w:val="008F7084"/>
    <w:rsid w:val="0090007D"/>
    <w:rsid w:val="00901BD4"/>
    <w:rsid w:val="00903224"/>
    <w:rsid w:val="00903948"/>
    <w:rsid w:val="0090769E"/>
    <w:rsid w:val="0091036D"/>
    <w:rsid w:val="00910C21"/>
    <w:rsid w:val="00912154"/>
    <w:rsid w:val="0091352D"/>
    <w:rsid w:val="0091386E"/>
    <w:rsid w:val="009141BB"/>
    <w:rsid w:val="0091494D"/>
    <w:rsid w:val="00916180"/>
    <w:rsid w:val="00920DCD"/>
    <w:rsid w:val="00920E21"/>
    <w:rsid w:val="00920F5B"/>
    <w:rsid w:val="00920FD2"/>
    <w:rsid w:val="009237C0"/>
    <w:rsid w:val="00923EF5"/>
    <w:rsid w:val="00924DA3"/>
    <w:rsid w:val="009257F5"/>
    <w:rsid w:val="00926B87"/>
    <w:rsid w:val="00926C59"/>
    <w:rsid w:val="0092783B"/>
    <w:rsid w:val="00930E37"/>
    <w:rsid w:val="00930E4D"/>
    <w:rsid w:val="00932F86"/>
    <w:rsid w:val="00933901"/>
    <w:rsid w:val="009346F4"/>
    <w:rsid w:val="0093671E"/>
    <w:rsid w:val="009378BD"/>
    <w:rsid w:val="0094089E"/>
    <w:rsid w:val="009422EA"/>
    <w:rsid w:val="00942CD0"/>
    <w:rsid w:val="00944F14"/>
    <w:rsid w:val="00945469"/>
    <w:rsid w:val="009460FA"/>
    <w:rsid w:val="009462FD"/>
    <w:rsid w:val="00946566"/>
    <w:rsid w:val="00950543"/>
    <w:rsid w:val="009508EF"/>
    <w:rsid w:val="00950DE1"/>
    <w:rsid w:val="00951F45"/>
    <w:rsid w:val="00951FD5"/>
    <w:rsid w:val="0095331B"/>
    <w:rsid w:val="00953E0C"/>
    <w:rsid w:val="00954DDF"/>
    <w:rsid w:val="00955C97"/>
    <w:rsid w:val="00956A51"/>
    <w:rsid w:val="00956BD4"/>
    <w:rsid w:val="00957488"/>
    <w:rsid w:val="00962B78"/>
    <w:rsid w:val="00963ACB"/>
    <w:rsid w:val="00963B19"/>
    <w:rsid w:val="0096586D"/>
    <w:rsid w:val="0096787C"/>
    <w:rsid w:val="00971D42"/>
    <w:rsid w:val="009741B5"/>
    <w:rsid w:val="0097444B"/>
    <w:rsid w:val="0098072C"/>
    <w:rsid w:val="00980C6D"/>
    <w:rsid w:val="00983C80"/>
    <w:rsid w:val="00984A87"/>
    <w:rsid w:val="00985002"/>
    <w:rsid w:val="009850CD"/>
    <w:rsid w:val="0098577C"/>
    <w:rsid w:val="00985DC9"/>
    <w:rsid w:val="009866A5"/>
    <w:rsid w:val="009873F2"/>
    <w:rsid w:val="009905B2"/>
    <w:rsid w:val="0099080B"/>
    <w:rsid w:val="00992616"/>
    <w:rsid w:val="009937F4"/>
    <w:rsid w:val="00993DEC"/>
    <w:rsid w:val="00994026"/>
    <w:rsid w:val="00994357"/>
    <w:rsid w:val="00995139"/>
    <w:rsid w:val="009A0BB3"/>
    <w:rsid w:val="009A1880"/>
    <w:rsid w:val="009A2269"/>
    <w:rsid w:val="009A2A6B"/>
    <w:rsid w:val="009A2B70"/>
    <w:rsid w:val="009A4233"/>
    <w:rsid w:val="009A451B"/>
    <w:rsid w:val="009A4F51"/>
    <w:rsid w:val="009A5FBE"/>
    <w:rsid w:val="009A6294"/>
    <w:rsid w:val="009A6449"/>
    <w:rsid w:val="009A6784"/>
    <w:rsid w:val="009A6909"/>
    <w:rsid w:val="009A6A2C"/>
    <w:rsid w:val="009A7188"/>
    <w:rsid w:val="009B00D5"/>
    <w:rsid w:val="009B197B"/>
    <w:rsid w:val="009B3B24"/>
    <w:rsid w:val="009B3C20"/>
    <w:rsid w:val="009B4778"/>
    <w:rsid w:val="009B5BF8"/>
    <w:rsid w:val="009B6AAF"/>
    <w:rsid w:val="009C020D"/>
    <w:rsid w:val="009C082E"/>
    <w:rsid w:val="009C1F2B"/>
    <w:rsid w:val="009C393B"/>
    <w:rsid w:val="009C3C86"/>
    <w:rsid w:val="009C3DB8"/>
    <w:rsid w:val="009C4EA9"/>
    <w:rsid w:val="009C6F1C"/>
    <w:rsid w:val="009D0759"/>
    <w:rsid w:val="009D07DB"/>
    <w:rsid w:val="009D0D53"/>
    <w:rsid w:val="009D48E1"/>
    <w:rsid w:val="009D6621"/>
    <w:rsid w:val="009D7030"/>
    <w:rsid w:val="009D74E4"/>
    <w:rsid w:val="009D76D3"/>
    <w:rsid w:val="009D7F80"/>
    <w:rsid w:val="009E0539"/>
    <w:rsid w:val="009E129D"/>
    <w:rsid w:val="009E1AA9"/>
    <w:rsid w:val="009E2CB5"/>
    <w:rsid w:val="009E36A0"/>
    <w:rsid w:val="009E36B2"/>
    <w:rsid w:val="009E3C6C"/>
    <w:rsid w:val="009E5428"/>
    <w:rsid w:val="009E6637"/>
    <w:rsid w:val="009E6FF9"/>
    <w:rsid w:val="009E7B4B"/>
    <w:rsid w:val="009F1D6A"/>
    <w:rsid w:val="009F212D"/>
    <w:rsid w:val="009F21D2"/>
    <w:rsid w:val="009F46AD"/>
    <w:rsid w:val="009F497B"/>
    <w:rsid w:val="009F4A78"/>
    <w:rsid w:val="009F4D28"/>
    <w:rsid w:val="009F5180"/>
    <w:rsid w:val="00A0055A"/>
    <w:rsid w:val="00A00C78"/>
    <w:rsid w:val="00A01D61"/>
    <w:rsid w:val="00A03715"/>
    <w:rsid w:val="00A045DF"/>
    <w:rsid w:val="00A055AA"/>
    <w:rsid w:val="00A05B5E"/>
    <w:rsid w:val="00A0647F"/>
    <w:rsid w:val="00A0665A"/>
    <w:rsid w:val="00A07BD8"/>
    <w:rsid w:val="00A103C9"/>
    <w:rsid w:val="00A10AE1"/>
    <w:rsid w:val="00A11983"/>
    <w:rsid w:val="00A12133"/>
    <w:rsid w:val="00A12581"/>
    <w:rsid w:val="00A12678"/>
    <w:rsid w:val="00A126FC"/>
    <w:rsid w:val="00A12929"/>
    <w:rsid w:val="00A13EA3"/>
    <w:rsid w:val="00A14664"/>
    <w:rsid w:val="00A157C2"/>
    <w:rsid w:val="00A160A3"/>
    <w:rsid w:val="00A1613E"/>
    <w:rsid w:val="00A1696A"/>
    <w:rsid w:val="00A1714A"/>
    <w:rsid w:val="00A1733D"/>
    <w:rsid w:val="00A20C6B"/>
    <w:rsid w:val="00A21C75"/>
    <w:rsid w:val="00A22E16"/>
    <w:rsid w:val="00A2600A"/>
    <w:rsid w:val="00A26BB6"/>
    <w:rsid w:val="00A2717C"/>
    <w:rsid w:val="00A30C77"/>
    <w:rsid w:val="00A30F69"/>
    <w:rsid w:val="00A31E8A"/>
    <w:rsid w:val="00A337FB"/>
    <w:rsid w:val="00A34C9B"/>
    <w:rsid w:val="00A3555E"/>
    <w:rsid w:val="00A362C6"/>
    <w:rsid w:val="00A36A37"/>
    <w:rsid w:val="00A40126"/>
    <w:rsid w:val="00A427B3"/>
    <w:rsid w:val="00A42B67"/>
    <w:rsid w:val="00A43600"/>
    <w:rsid w:val="00A43FCB"/>
    <w:rsid w:val="00A44F7C"/>
    <w:rsid w:val="00A453AD"/>
    <w:rsid w:val="00A45D13"/>
    <w:rsid w:val="00A50763"/>
    <w:rsid w:val="00A5079F"/>
    <w:rsid w:val="00A521A2"/>
    <w:rsid w:val="00A5296A"/>
    <w:rsid w:val="00A52D05"/>
    <w:rsid w:val="00A53B7E"/>
    <w:rsid w:val="00A5460D"/>
    <w:rsid w:val="00A54CF7"/>
    <w:rsid w:val="00A54DED"/>
    <w:rsid w:val="00A556CA"/>
    <w:rsid w:val="00A562F1"/>
    <w:rsid w:val="00A5766B"/>
    <w:rsid w:val="00A57EA1"/>
    <w:rsid w:val="00A601C7"/>
    <w:rsid w:val="00A6175E"/>
    <w:rsid w:val="00A61CBC"/>
    <w:rsid w:val="00A621F4"/>
    <w:rsid w:val="00A62290"/>
    <w:rsid w:val="00A64A31"/>
    <w:rsid w:val="00A65081"/>
    <w:rsid w:val="00A65940"/>
    <w:rsid w:val="00A65C2F"/>
    <w:rsid w:val="00A67FBB"/>
    <w:rsid w:val="00A70302"/>
    <w:rsid w:val="00A70521"/>
    <w:rsid w:val="00A73D17"/>
    <w:rsid w:val="00A7418A"/>
    <w:rsid w:val="00A7432F"/>
    <w:rsid w:val="00A74983"/>
    <w:rsid w:val="00A77491"/>
    <w:rsid w:val="00A827F0"/>
    <w:rsid w:val="00A82CA3"/>
    <w:rsid w:val="00A83339"/>
    <w:rsid w:val="00A833C0"/>
    <w:rsid w:val="00A834AC"/>
    <w:rsid w:val="00A83EA9"/>
    <w:rsid w:val="00A845E2"/>
    <w:rsid w:val="00A8477F"/>
    <w:rsid w:val="00A84984"/>
    <w:rsid w:val="00A86B8A"/>
    <w:rsid w:val="00A91B4C"/>
    <w:rsid w:val="00A923B0"/>
    <w:rsid w:val="00A93D15"/>
    <w:rsid w:val="00A94045"/>
    <w:rsid w:val="00A948A6"/>
    <w:rsid w:val="00A94A34"/>
    <w:rsid w:val="00A953D3"/>
    <w:rsid w:val="00A956B5"/>
    <w:rsid w:val="00A97CF1"/>
    <w:rsid w:val="00A97E91"/>
    <w:rsid w:val="00AA0FF5"/>
    <w:rsid w:val="00AA1B24"/>
    <w:rsid w:val="00AA1C23"/>
    <w:rsid w:val="00AA25C0"/>
    <w:rsid w:val="00AA3556"/>
    <w:rsid w:val="00AA45CD"/>
    <w:rsid w:val="00AA4958"/>
    <w:rsid w:val="00AA7574"/>
    <w:rsid w:val="00AB02C3"/>
    <w:rsid w:val="00AB03B6"/>
    <w:rsid w:val="00AB15DF"/>
    <w:rsid w:val="00AB2FE5"/>
    <w:rsid w:val="00AB327F"/>
    <w:rsid w:val="00AB4731"/>
    <w:rsid w:val="00AB4CB6"/>
    <w:rsid w:val="00AB5329"/>
    <w:rsid w:val="00AB5DA9"/>
    <w:rsid w:val="00AB7C1C"/>
    <w:rsid w:val="00AC0953"/>
    <w:rsid w:val="00AC0AB0"/>
    <w:rsid w:val="00AC1DE4"/>
    <w:rsid w:val="00AC29A1"/>
    <w:rsid w:val="00AC2B35"/>
    <w:rsid w:val="00AC30B9"/>
    <w:rsid w:val="00AC3728"/>
    <w:rsid w:val="00AC6FF6"/>
    <w:rsid w:val="00AC7A56"/>
    <w:rsid w:val="00AC7BD8"/>
    <w:rsid w:val="00AC7EC7"/>
    <w:rsid w:val="00AD0309"/>
    <w:rsid w:val="00AD0912"/>
    <w:rsid w:val="00AD0DFF"/>
    <w:rsid w:val="00AD1033"/>
    <w:rsid w:val="00AD4B36"/>
    <w:rsid w:val="00AD57D1"/>
    <w:rsid w:val="00AD5F29"/>
    <w:rsid w:val="00AD70F7"/>
    <w:rsid w:val="00AE10F2"/>
    <w:rsid w:val="00AE1B36"/>
    <w:rsid w:val="00AE1C10"/>
    <w:rsid w:val="00AE2402"/>
    <w:rsid w:val="00AE3F60"/>
    <w:rsid w:val="00AE537A"/>
    <w:rsid w:val="00AE6525"/>
    <w:rsid w:val="00AE7785"/>
    <w:rsid w:val="00AF144D"/>
    <w:rsid w:val="00AF1CC3"/>
    <w:rsid w:val="00AF23EA"/>
    <w:rsid w:val="00AF31AE"/>
    <w:rsid w:val="00AF349C"/>
    <w:rsid w:val="00AF3554"/>
    <w:rsid w:val="00AF47F2"/>
    <w:rsid w:val="00B00469"/>
    <w:rsid w:val="00B0085B"/>
    <w:rsid w:val="00B008C4"/>
    <w:rsid w:val="00B0199D"/>
    <w:rsid w:val="00B01ED6"/>
    <w:rsid w:val="00B02C44"/>
    <w:rsid w:val="00B02D0C"/>
    <w:rsid w:val="00B0319B"/>
    <w:rsid w:val="00B05333"/>
    <w:rsid w:val="00B05AC5"/>
    <w:rsid w:val="00B062CF"/>
    <w:rsid w:val="00B06A83"/>
    <w:rsid w:val="00B07528"/>
    <w:rsid w:val="00B07B5F"/>
    <w:rsid w:val="00B10EAE"/>
    <w:rsid w:val="00B12865"/>
    <w:rsid w:val="00B1287A"/>
    <w:rsid w:val="00B12CC7"/>
    <w:rsid w:val="00B143AE"/>
    <w:rsid w:val="00B16438"/>
    <w:rsid w:val="00B1663C"/>
    <w:rsid w:val="00B221A0"/>
    <w:rsid w:val="00B223B6"/>
    <w:rsid w:val="00B235A5"/>
    <w:rsid w:val="00B25F28"/>
    <w:rsid w:val="00B26007"/>
    <w:rsid w:val="00B270B8"/>
    <w:rsid w:val="00B31DD9"/>
    <w:rsid w:val="00B32878"/>
    <w:rsid w:val="00B337AA"/>
    <w:rsid w:val="00B33C9B"/>
    <w:rsid w:val="00B34CBF"/>
    <w:rsid w:val="00B35FE9"/>
    <w:rsid w:val="00B37DD8"/>
    <w:rsid w:val="00B40694"/>
    <w:rsid w:val="00B40F7D"/>
    <w:rsid w:val="00B414D7"/>
    <w:rsid w:val="00B4204C"/>
    <w:rsid w:val="00B42BBC"/>
    <w:rsid w:val="00B42F5A"/>
    <w:rsid w:val="00B44C80"/>
    <w:rsid w:val="00B47913"/>
    <w:rsid w:val="00B5246C"/>
    <w:rsid w:val="00B532C3"/>
    <w:rsid w:val="00B54EF9"/>
    <w:rsid w:val="00B5510E"/>
    <w:rsid w:val="00B604B7"/>
    <w:rsid w:val="00B6121B"/>
    <w:rsid w:val="00B61758"/>
    <w:rsid w:val="00B617B4"/>
    <w:rsid w:val="00B631F9"/>
    <w:rsid w:val="00B63368"/>
    <w:rsid w:val="00B674F1"/>
    <w:rsid w:val="00B67EBF"/>
    <w:rsid w:val="00B67F72"/>
    <w:rsid w:val="00B71322"/>
    <w:rsid w:val="00B71C8A"/>
    <w:rsid w:val="00B71EA1"/>
    <w:rsid w:val="00B7222A"/>
    <w:rsid w:val="00B72C1B"/>
    <w:rsid w:val="00B73FF6"/>
    <w:rsid w:val="00B74D90"/>
    <w:rsid w:val="00B76EF0"/>
    <w:rsid w:val="00B80ACB"/>
    <w:rsid w:val="00B81578"/>
    <w:rsid w:val="00B818AE"/>
    <w:rsid w:val="00B81F13"/>
    <w:rsid w:val="00B836AF"/>
    <w:rsid w:val="00B85740"/>
    <w:rsid w:val="00B85C1D"/>
    <w:rsid w:val="00B8674F"/>
    <w:rsid w:val="00B87BA4"/>
    <w:rsid w:val="00B90F4D"/>
    <w:rsid w:val="00B9160F"/>
    <w:rsid w:val="00B92500"/>
    <w:rsid w:val="00B94720"/>
    <w:rsid w:val="00B950FA"/>
    <w:rsid w:val="00B9550B"/>
    <w:rsid w:val="00B95983"/>
    <w:rsid w:val="00B9697E"/>
    <w:rsid w:val="00B96D1A"/>
    <w:rsid w:val="00B97692"/>
    <w:rsid w:val="00B97972"/>
    <w:rsid w:val="00B97DCC"/>
    <w:rsid w:val="00BA1162"/>
    <w:rsid w:val="00BA1EC5"/>
    <w:rsid w:val="00BA4EC8"/>
    <w:rsid w:val="00BA5317"/>
    <w:rsid w:val="00BA544B"/>
    <w:rsid w:val="00BA66CD"/>
    <w:rsid w:val="00BB079D"/>
    <w:rsid w:val="00BB33C6"/>
    <w:rsid w:val="00BB3C91"/>
    <w:rsid w:val="00BB47D7"/>
    <w:rsid w:val="00BB4869"/>
    <w:rsid w:val="00BB5966"/>
    <w:rsid w:val="00BB6B56"/>
    <w:rsid w:val="00BB78A3"/>
    <w:rsid w:val="00BB7ABD"/>
    <w:rsid w:val="00BB7D93"/>
    <w:rsid w:val="00BC0006"/>
    <w:rsid w:val="00BC0290"/>
    <w:rsid w:val="00BC03A4"/>
    <w:rsid w:val="00BC109B"/>
    <w:rsid w:val="00BC1A95"/>
    <w:rsid w:val="00BC1BFD"/>
    <w:rsid w:val="00BC36D7"/>
    <w:rsid w:val="00BC4086"/>
    <w:rsid w:val="00BC6472"/>
    <w:rsid w:val="00BD0B50"/>
    <w:rsid w:val="00BD3EDC"/>
    <w:rsid w:val="00BD4435"/>
    <w:rsid w:val="00BD4C20"/>
    <w:rsid w:val="00BD5121"/>
    <w:rsid w:val="00BD592B"/>
    <w:rsid w:val="00BD5F1C"/>
    <w:rsid w:val="00BD6AFA"/>
    <w:rsid w:val="00BE0792"/>
    <w:rsid w:val="00BE1F18"/>
    <w:rsid w:val="00BE3130"/>
    <w:rsid w:val="00BE36B1"/>
    <w:rsid w:val="00BE3B13"/>
    <w:rsid w:val="00BE4318"/>
    <w:rsid w:val="00BE5C6E"/>
    <w:rsid w:val="00BE6AB3"/>
    <w:rsid w:val="00BE7437"/>
    <w:rsid w:val="00BF0270"/>
    <w:rsid w:val="00BF2C19"/>
    <w:rsid w:val="00BF3D7B"/>
    <w:rsid w:val="00BF4D87"/>
    <w:rsid w:val="00BF5512"/>
    <w:rsid w:val="00BF5998"/>
    <w:rsid w:val="00BF75B9"/>
    <w:rsid w:val="00BF7A46"/>
    <w:rsid w:val="00C00023"/>
    <w:rsid w:val="00C018EA"/>
    <w:rsid w:val="00C02006"/>
    <w:rsid w:val="00C03EBB"/>
    <w:rsid w:val="00C04806"/>
    <w:rsid w:val="00C07319"/>
    <w:rsid w:val="00C119C7"/>
    <w:rsid w:val="00C11EE3"/>
    <w:rsid w:val="00C12E77"/>
    <w:rsid w:val="00C13150"/>
    <w:rsid w:val="00C141BE"/>
    <w:rsid w:val="00C149FC"/>
    <w:rsid w:val="00C15D50"/>
    <w:rsid w:val="00C16052"/>
    <w:rsid w:val="00C16C9D"/>
    <w:rsid w:val="00C17454"/>
    <w:rsid w:val="00C20FA2"/>
    <w:rsid w:val="00C210F9"/>
    <w:rsid w:val="00C21DA5"/>
    <w:rsid w:val="00C22097"/>
    <w:rsid w:val="00C2234D"/>
    <w:rsid w:val="00C22EA6"/>
    <w:rsid w:val="00C22FA3"/>
    <w:rsid w:val="00C23413"/>
    <w:rsid w:val="00C234DE"/>
    <w:rsid w:val="00C2486B"/>
    <w:rsid w:val="00C24DA3"/>
    <w:rsid w:val="00C25AF5"/>
    <w:rsid w:val="00C25E87"/>
    <w:rsid w:val="00C261AA"/>
    <w:rsid w:val="00C2623A"/>
    <w:rsid w:val="00C26681"/>
    <w:rsid w:val="00C26CF0"/>
    <w:rsid w:val="00C26E6D"/>
    <w:rsid w:val="00C26F5F"/>
    <w:rsid w:val="00C270DE"/>
    <w:rsid w:val="00C300B5"/>
    <w:rsid w:val="00C3235A"/>
    <w:rsid w:val="00C34194"/>
    <w:rsid w:val="00C3484B"/>
    <w:rsid w:val="00C35334"/>
    <w:rsid w:val="00C35EE2"/>
    <w:rsid w:val="00C3643E"/>
    <w:rsid w:val="00C36E8B"/>
    <w:rsid w:val="00C37517"/>
    <w:rsid w:val="00C3789E"/>
    <w:rsid w:val="00C4080C"/>
    <w:rsid w:val="00C411D0"/>
    <w:rsid w:val="00C4320C"/>
    <w:rsid w:val="00C43F67"/>
    <w:rsid w:val="00C45973"/>
    <w:rsid w:val="00C45E11"/>
    <w:rsid w:val="00C4650D"/>
    <w:rsid w:val="00C475A3"/>
    <w:rsid w:val="00C479F0"/>
    <w:rsid w:val="00C50736"/>
    <w:rsid w:val="00C51D28"/>
    <w:rsid w:val="00C5278A"/>
    <w:rsid w:val="00C52C52"/>
    <w:rsid w:val="00C534A6"/>
    <w:rsid w:val="00C537DC"/>
    <w:rsid w:val="00C552B8"/>
    <w:rsid w:val="00C5595B"/>
    <w:rsid w:val="00C559FA"/>
    <w:rsid w:val="00C55C66"/>
    <w:rsid w:val="00C568AC"/>
    <w:rsid w:val="00C56AE3"/>
    <w:rsid w:val="00C57B5C"/>
    <w:rsid w:val="00C57C53"/>
    <w:rsid w:val="00C61B4A"/>
    <w:rsid w:val="00C61C6D"/>
    <w:rsid w:val="00C62532"/>
    <w:rsid w:val="00C65300"/>
    <w:rsid w:val="00C67858"/>
    <w:rsid w:val="00C705A4"/>
    <w:rsid w:val="00C712BB"/>
    <w:rsid w:val="00C71A48"/>
    <w:rsid w:val="00C71CE6"/>
    <w:rsid w:val="00C73102"/>
    <w:rsid w:val="00C74626"/>
    <w:rsid w:val="00C7563F"/>
    <w:rsid w:val="00C763EC"/>
    <w:rsid w:val="00C76BD3"/>
    <w:rsid w:val="00C77898"/>
    <w:rsid w:val="00C826E7"/>
    <w:rsid w:val="00C82A00"/>
    <w:rsid w:val="00C867DA"/>
    <w:rsid w:val="00C87884"/>
    <w:rsid w:val="00C87CA1"/>
    <w:rsid w:val="00C904CA"/>
    <w:rsid w:val="00C917EE"/>
    <w:rsid w:val="00C91E65"/>
    <w:rsid w:val="00C94AE0"/>
    <w:rsid w:val="00C94BEC"/>
    <w:rsid w:val="00C95F29"/>
    <w:rsid w:val="00C96AAC"/>
    <w:rsid w:val="00CA2A0E"/>
    <w:rsid w:val="00CA432A"/>
    <w:rsid w:val="00CA5373"/>
    <w:rsid w:val="00CA5FA2"/>
    <w:rsid w:val="00CA67E9"/>
    <w:rsid w:val="00CA72BC"/>
    <w:rsid w:val="00CA7620"/>
    <w:rsid w:val="00CB0256"/>
    <w:rsid w:val="00CB0D49"/>
    <w:rsid w:val="00CB117E"/>
    <w:rsid w:val="00CB1817"/>
    <w:rsid w:val="00CB469E"/>
    <w:rsid w:val="00CB645C"/>
    <w:rsid w:val="00CB6754"/>
    <w:rsid w:val="00CB706C"/>
    <w:rsid w:val="00CB78FA"/>
    <w:rsid w:val="00CC037D"/>
    <w:rsid w:val="00CC1156"/>
    <w:rsid w:val="00CC145A"/>
    <w:rsid w:val="00CC1CD3"/>
    <w:rsid w:val="00CC21BF"/>
    <w:rsid w:val="00CC2553"/>
    <w:rsid w:val="00CC2581"/>
    <w:rsid w:val="00CC2616"/>
    <w:rsid w:val="00CC463C"/>
    <w:rsid w:val="00CC4AB9"/>
    <w:rsid w:val="00CC57B0"/>
    <w:rsid w:val="00CC7DB2"/>
    <w:rsid w:val="00CD1F37"/>
    <w:rsid w:val="00CD1F68"/>
    <w:rsid w:val="00CD2A9C"/>
    <w:rsid w:val="00CD3325"/>
    <w:rsid w:val="00CD6A03"/>
    <w:rsid w:val="00CD72D7"/>
    <w:rsid w:val="00CE07D4"/>
    <w:rsid w:val="00CE1FD7"/>
    <w:rsid w:val="00CE2496"/>
    <w:rsid w:val="00CE5424"/>
    <w:rsid w:val="00CE5462"/>
    <w:rsid w:val="00CF01DA"/>
    <w:rsid w:val="00CF180B"/>
    <w:rsid w:val="00CF22B7"/>
    <w:rsid w:val="00CF2C34"/>
    <w:rsid w:val="00CF419A"/>
    <w:rsid w:val="00CF445C"/>
    <w:rsid w:val="00CF4ECC"/>
    <w:rsid w:val="00CF6D04"/>
    <w:rsid w:val="00CF716D"/>
    <w:rsid w:val="00CF7324"/>
    <w:rsid w:val="00CF78F9"/>
    <w:rsid w:val="00CF7E01"/>
    <w:rsid w:val="00D00571"/>
    <w:rsid w:val="00D01511"/>
    <w:rsid w:val="00D0190D"/>
    <w:rsid w:val="00D04B85"/>
    <w:rsid w:val="00D052AD"/>
    <w:rsid w:val="00D06912"/>
    <w:rsid w:val="00D06C82"/>
    <w:rsid w:val="00D07E16"/>
    <w:rsid w:val="00D10FAD"/>
    <w:rsid w:val="00D11D4D"/>
    <w:rsid w:val="00D2053F"/>
    <w:rsid w:val="00D20C64"/>
    <w:rsid w:val="00D21238"/>
    <w:rsid w:val="00D21515"/>
    <w:rsid w:val="00D2172D"/>
    <w:rsid w:val="00D22B97"/>
    <w:rsid w:val="00D22E8A"/>
    <w:rsid w:val="00D230E3"/>
    <w:rsid w:val="00D232FD"/>
    <w:rsid w:val="00D24B43"/>
    <w:rsid w:val="00D254FD"/>
    <w:rsid w:val="00D27438"/>
    <w:rsid w:val="00D3071F"/>
    <w:rsid w:val="00D31EE9"/>
    <w:rsid w:val="00D332DB"/>
    <w:rsid w:val="00D34289"/>
    <w:rsid w:val="00D3467F"/>
    <w:rsid w:val="00D35418"/>
    <w:rsid w:val="00D35591"/>
    <w:rsid w:val="00D3766B"/>
    <w:rsid w:val="00D41726"/>
    <w:rsid w:val="00D42E79"/>
    <w:rsid w:val="00D44131"/>
    <w:rsid w:val="00D44A73"/>
    <w:rsid w:val="00D44FFA"/>
    <w:rsid w:val="00D45F4F"/>
    <w:rsid w:val="00D47901"/>
    <w:rsid w:val="00D47CA8"/>
    <w:rsid w:val="00D50240"/>
    <w:rsid w:val="00D50FA2"/>
    <w:rsid w:val="00D532F5"/>
    <w:rsid w:val="00D55299"/>
    <w:rsid w:val="00D569BB"/>
    <w:rsid w:val="00D60603"/>
    <w:rsid w:val="00D61D53"/>
    <w:rsid w:val="00D6261B"/>
    <w:rsid w:val="00D62C71"/>
    <w:rsid w:val="00D62FE6"/>
    <w:rsid w:val="00D6372B"/>
    <w:rsid w:val="00D63795"/>
    <w:rsid w:val="00D6399D"/>
    <w:rsid w:val="00D650DD"/>
    <w:rsid w:val="00D66AFF"/>
    <w:rsid w:val="00D677C9"/>
    <w:rsid w:val="00D71322"/>
    <w:rsid w:val="00D71CD7"/>
    <w:rsid w:val="00D72CAC"/>
    <w:rsid w:val="00D73A75"/>
    <w:rsid w:val="00D74DDD"/>
    <w:rsid w:val="00D75427"/>
    <w:rsid w:val="00D75676"/>
    <w:rsid w:val="00D76C02"/>
    <w:rsid w:val="00D76C3D"/>
    <w:rsid w:val="00D8131B"/>
    <w:rsid w:val="00D81BFA"/>
    <w:rsid w:val="00D81D6A"/>
    <w:rsid w:val="00D82083"/>
    <w:rsid w:val="00D82E62"/>
    <w:rsid w:val="00D83B86"/>
    <w:rsid w:val="00D83BA4"/>
    <w:rsid w:val="00D846FC"/>
    <w:rsid w:val="00D84BF0"/>
    <w:rsid w:val="00D84F9F"/>
    <w:rsid w:val="00D8547B"/>
    <w:rsid w:val="00D85E5B"/>
    <w:rsid w:val="00D8659D"/>
    <w:rsid w:val="00D86804"/>
    <w:rsid w:val="00D8753D"/>
    <w:rsid w:val="00D903DE"/>
    <w:rsid w:val="00D90642"/>
    <w:rsid w:val="00D910C5"/>
    <w:rsid w:val="00D91214"/>
    <w:rsid w:val="00D9179A"/>
    <w:rsid w:val="00D92CFA"/>
    <w:rsid w:val="00D938AE"/>
    <w:rsid w:val="00D951E8"/>
    <w:rsid w:val="00D96910"/>
    <w:rsid w:val="00D96CE9"/>
    <w:rsid w:val="00D96E69"/>
    <w:rsid w:val="00D979C4"/>
    <w:rsid w:val="00DA18F4"/>
    <w:rsid w:val="00DA2E90"/>
    <w:rsid w:val="00DA4A07"/>
    <w:rsid w:val="00DA51C2"/>
    <w:rsid w:val="00DA5689"/>
    <w:rsid w:val="00DA5746"/>
    <w:rsid w:val="00DA5A50"/>
    <w:rsid w:val="00DA629E"/>
    <w:rsid w:val="00DB0424"/>
    <w:rsid w:val="00DB2171"/>
    <w:rsid w:val="00DB4FD9"/>
    <w:rsid w:val="00DB5004"/>
    <w:rsid w:val="00DB593A"/>
    <w:rsid w:val="00DB5FB2"/>
    <w:rsid w:val="00DB6F38"/>
    <w:rsid w:val="00DB73AF"/>
    <w:rsid w:val="00DC1A00"/>
    <w:rsid w:val="00DC2867"/>
    <w:rsid w:val="00DC3646"/>
    <w:rsid w:val="00DC4296"/>
    <w:rsid w:val="00DC5E10"/>
    <w:rsid w:val="00DD1D13"/>
    <w:rsid w:val="00DD2298"/>
    <w:rsid w:val="00DD4CDF"/>
    <w:rsid w:val="00DD50F8"/>
    <w:rsid w:val="00DD6B00"/>
    <w:rsid w:val="00DD7674"/>
    <w:rsid w:val="00DD7FC2"/>
    <w:rsid w:val="00DE04E5"/>
    <w:rsid w:val="00DE1744"/>
    <w:rsid w:val="00DE3E79"/>
    <w:rsid w:val="00DE5BF7"/>
    <w:rsid w:val="00DE6DE9"/>
    <w:rsid w:val="00DE7E06"/>
    <w:rsid w:val="00DE7F38"/>
    <w:rsid w:val="00DF1168"/>
    <w:rsid w:val="00DF17DC"/>
    <w:rsid w:val="00DF19E2"/>
    <w:rsid w:val="00DF1D26"/>
    <w:rsid w:val="00DF4DB2"/>
    <w:rsid w:val="00DF5BC2"/>
    <w:rsid w:val="00DF7E5C"/>
    <w:rsid w:val="00E00633"/>
    <w:rsid w:val="00E02851"/>
    <w:rsid w:val="00E029B8"/>
    <w:rsid w:val="00E02DF1"/>
    <w:rsid w:val="00E040C2"/>
    <w:rsid w:val="00E04AA2"/>
    <w:rsid w:val="00E05B43"/>
    <w:rsid w:val="00E06154"/>
    <w:rsid w:val="00E07010"/>
    <w:rsid w:val="00E07881"/>
    <w:rsid w:val="00E12EA2"/>
    <w:rsid w:val="00E136EE"/>
    <w:rsid w:val="00E14856"/>
    <w:rsid w:val="00E14A1F"/>
    <w:rsid w:val="00E16BEA"/>
    <w:rsid w:val="00E17E37"/>
    <w:rsid w:val="00E20412"/>
    <w:rsid w:val="00E2110C"/>
    <w:rsid w:val="00E224E1"/>
    <w:rsid w:val="00E256D8"/>
    <w:rsid w:val="00E27066"/>
    <w:rsid w:val="00E27EE9"/>
    <w:rsid w:val="00E340C4"/>
    <w:rsid w:val="00E346D3"/>
    <w:rsid w:val="00E34836"/>
    <w:rsid w:val="00E35972"/>
    <w:rsid w:val="00E3666E"/>
    <w:rsid w:val="00E369E6"/>
    <w:rsid w:val="00E4031E"/>
    <w:rsid w:val="00E41626"/>
    <w:rsid w:val="00E4301B"/>
    <w:rsid w:val="00E444AF"/>
    <w:rsid w:val="00E44BCD"/>
    <w:rsid w:val="00E455AE"/>
    <w:rsid w:val="00E45EEE"/>
    <w:rsid w:val="00E508E8"/>
    <w:rsid w:val="00E5127A"/>
    <w:rsid w:val="00E51A45"/>
    <w:rsid w:val="00E53493"/>
    <w:rsid w:val="00E536B7"/>
    <w:rsid w:val="00E55171"/>
    <w:rsid w:val="00E57259"/>
    <w:rsid w:val="00E5746E"/>
    <w:rsid w:val="00E57C3B"/>
    <w:rsid w:val="00E61FEB"/>
    <w:rsid w:val="00E62132"/>
    <w:rsid w:val="00E624A0"/>
    <w:rsid w:val="00E63BA5"/>
    <w:rsid w:val="00E6520A"/>
    <w:rsid w:val="00E659A3"/>
    <w:rsid w:val="00E67112"/>
    <w:rsid w:val="00E714DF"/>
    <w:rsid w:val="00E73CDB"/>
    <w:rsid w:val="00E74023"/>
    <w:rsid w:val="00E741DD"/>
    <w:rsid w:val="00E74554"/>
    <w:rsid w:val="00E74A35"/>
    <w:rsid w:val="00E74D65"/>
    <w:rsid w:val="00E7563F"/>
    <w:rsid w:val="00E758A6"/>
    <w:rsid w:val="00E761A1"/>
    <w:rsid w:val="00E76BBE"/>
    <w:rsid w:val="00E770ED"/>
    <w:rsid w:val="00E77C9E"/>
    <w:rsid w:val="00E77DEE"/>
    <w:rsid w:val="00E84369"/>
    <w:rsid w:val="00E85440"/>
    <w:rsid w:val="00E86530"/>
    <w:rsid w:val="00E91B39"/>
    <w:rsid w:val="00E9278A"/>
    <w:rsid w:val="00E92D23"/>
    <w:rsid w:val="00E93934"/>
    <w:rsid w:val="00E93BFD"/>
    <w:rsid w:val="00E94700"/>
    <w:rsid w:val="00E958FF"/>
    <w:rsid w:val="00E95B89"/>
    <w:rsid w:val="00E96485"/>
    <w:rsid w:val="00E96CE0"/>
    <w:rsid w:val="00E96D29"/>
    <w:rsid w:val="00EA062A"/>
    <w:rsid w:val="00EA158B"/>
    <w:rsid w:val="00EA37A4"/>
    <w:rsid w:val="00EA5091"/>
    <w:rsid w:val="00EA5D74"/>
    <w:rsid w:val="00EA6350"/>
    <w:rsid w:val="00EA68CA"/>
    <w:rsid w:val="00EA6BAD"/>
    <w:rsid w:val="00EA7940"/>
    <w:rsid w:val="00EA7D37"/>
    <w:rsid w:val="00EB0994"/>
    <w:rsid w:val="00EB0B7F"/>
    <w:rsid w:val="00EB1326"/>
    <w:rsid w:val="00EB2AE4"/>
    <w:rsid w:val="00EB3F98"/>
    <w:rsid w:val="00EB4562"/>
    <w:rsid w:val="00EB6225"/>
    <w:rsid w:val="00EB7166"/>
    <w:rsid w:val="00EB7696"/>
    <w:rsid w:val="00EC0E1E"/>
    <w:rsid w:val="00EC141D"/>
    <w:rsid w:val="00EC18A6"/>
    <w:rsid w:val="00EC308A"/>
    <w:rsid w:val="00EC3D80"/>
    <w:rsid w:val="00EC4AD3"/>
    <w:rsid w:val="00EC4F15"/>
    <w:rsid w:val="00EC558B"/>
    <w:rsid w:val="00EC63BB"/>
    <w:rsid w:val="00EC6693"/>
    <w:rsid w:val="00EC6EED"/>
    <w:rsid w:val="00EC7C67"/>
    <w:rsid w:val="00ED126B"/>
    <w:rsid w:val="00ED3C80"/>
    <w:rsid w:val="00ED3D2F"/>
    <w:rsid w:val="00ED4221"/>
    <w:rsid w:val="00ED7804"/>
    <w:rsid w:val="00EE03E5"/>
    <w:rsid w:val="00EE1E80"/>
    <w:rsid w:val="00EE265F"/>
    <w:rsid w:val="00EE3662"/>
    <w:rsid w:val="00EE3C18"/>
    <w:rsid w:val="00EE4048"/>
    <w:rsid w:val="00EE46E6"/>
    <w:rsid w:val="00EE544C"/>
    <w:rsid w:val="00EE5DA3"/>
    <w:rsid w:val="00EE6F1F"/>
    <w:rsid w:val="00EE754D"/>
    <w:rsid w:val="00EE7A08"/>
    <w:rsid w:val="00EE7D7A"/>
    <w:rsid w:val="00EF3B0A"/>
    <w:rsid w:val="00EF3E59"/>
    <w:rsid w:val="00EF482E"/>
    <w:rsid w:val="00EF4C9F"/>
    <w:rsid w:val="00EF5BAA"/>
    <w:rsid w:val="00EF69B8"/>
    <w:rsid w:val="00EF7248"/>
    <w:rsid w:val="00F00F74"/>
    <w:rsid w:val="00F036CD"/>
    <w:rsid w:val="00F03A76"/>
    <w:rsid w:val="00F042F8"/>
    <w:rsid w:val="00F06EEA"/>
    <w:rsid w:val="00F1047B"/>
    <w:rsid w:val="00F106B0"/>
    <w:rsid w:val="00F11460"/>
    <w:rsid w:val="00F11F07"/>
    <w:rsid w:val="00F11F80"/>
    <w:rsid w:val="00F1696B"/>
    <w:rsid w:val="00F16F8C"/>
    <w:rsid w:val="00F20EB2"/>
    <w:rsid w:val="00F23F0F"/>
    <w:rsid w:val="00F24329"/>
    <w:rsid w:val="00F24499"/>
    <w:rsid w:val="00F2493A"/>
    <w:rsid w:val="00F24F1A"/>
    <w:rsid w:val="00F25408"/>
    <w:rsid w:val="00F25AF9"/>
    <w:rsid w:val="00F25B11"/>
    <w:rsid w:val="00F25EEC"/>
    <w:rsid w:val="00F2727E"/>
    <w:rsid w:val="00F27391"/>
    <w:rsid w:val="00F27E43"/>
    <w:rsid w:val="00F30C5F"/>
    <w:rsid w:val="00F31C50"/>
    <w:rsid w:val="00F32917"/>
    <w:rsid w:val="00F33425"/>
    <w:rsid w:val="00F334F8"/>
    <w:rsid w:val="00F33A58"/>
    <w:rsid w:val="00F34643"/>
    <w:rsid w:val="00F35634"/>
    <w:rsid w:val="00F3563C"/>
    <w:rsid w:val="00F35F5F"/>
    <w:rsid w:val="00F36803"/>
    <w:rsid w:val="00F36EB2"/>
    <w:rsid w:val="00F3712C"/>
    <w:rsid w:val="00F37C42"/>
    <w:rsid w:val="00F40A7E"/>
    <w:rsid w:val="00F41B38"/>
    <w:rsid w:val="00F42A63"/>
    <w:rsid w:val="00F432A4"/>
    <w:rsid w:val="00F4548A"/>
    <w:rsid w:val="00F46799"/>
    <w:rsid w:val="00F473C0"/>
    <w:rsid w:val="00F473C3"/>
    <w:rsid w:val="00F475FC"/>
    <w:rsid w:val="00F4765C"/>
    <w:rsid w:val="00F47F12"/>
    <w:rsid w:val="00F50CDF"/>
    <w:rsid w:val="00F524A2"/>
    <w:rsid w:val="00F5304D"/>
    <w:rsid w:val="00F53323"/>
    <w:rsid w:val="00F5449B"/>
    <w:rsid w:val="00F560A7"/>
    <w:rsid w:val="00F569A8"/>
    <w:rsid w:val="00F56AE3"/>
    <w:rsid w:val="00F5794C"/>
    <w:rsid w:val="00F60C2D"/>
    <w:rsid w:val="00F60D30"/>
    <w:rsid w:val="00F60FD4"/>
    <w:rsid w:val="00F61229"/>
    <w:rsid w:val="00F625C1"/>
    <w:rsid w:val="00F62648"/>
    <w:rsid w:val="00F62A6B"/>
    <w:rsid w:val="00F63D6A"/>
    <w:rsid w:val="00F6567B"/>
    <w:rsid w:val="00F663E3"/>
    <w:rsid w:val="00F67F61"/>
    <w:rsid w:val="00F70F86"/>
    <w:rsid w:val="00F7183D"/>
    <w:rsid w:val="00F71846"/>
    <w:rsid w:val="00F741CD"/>
    <w:rsid w:val="00F75EA9"/>
    <w:rsid w:val="00F769BA"/>
    <w:rsid w:val="00F77DE2"/>
    <w:rsid w:val="00F800AD"/>
    <w:rsid w:val="00F8033D"/>
    <w:rsid w:val="00F8060C"/>
    <w:rsid w:val="00F80DB1"/>
    <w:rsid w:val="00F81DD3"/>
    <w:rsid w:val="00F8280B"/>
    <w:rsid w:val="00F82B39"/>
    <w:rsid w:val="00F850F1"/>
    <w:rsid w:val="00F85679"/>
    <w:rsid w:val="00F86402"/>
    <w:rsid w:val="00F86FF2"/>
    <w:rsid w:val="00F90373"/>
    <w:rsid w:val="00F9163B"/>
    <w:rsid w:val="00F91E2B"/>
    <w:rsid w:val="00F9208A"/>
    <w:rsid w:val="00F94EBA"/>
    <w:rsid w:val="00F9679D"/>
    <w:rsid w:val="00F972F3"/>
    <w:rsid w:val="00FA1872"/>
    <w:rsid w:val="00FA1D8D"/>
    <w:rsid w:val="00FA21B1"/>
    <w:rsid w:val="00FA2B93"/>
    <w:rsid w:val="00FA3109"/>
    <w:rsid w:val="00FA4196"/>
    <w:rsid w:val="00FA669E"/>
    <w:rsid w:val="00FA6826"/>
    <w:rsid w:val="00FA727A"/>
    <w:rsid w:val="00FA7826"/>
    <w:rsid w:val="00FB2715"/>
    <w:rsid w:val="00FB2819"/>
    <w:rsid w:val="00FB2949"/>
    <w:rsid w:val="00FB2BAE"/>
    <w:rsid w:val="00FB418D"/>
    <w:rsid w:val="00FB450A"/>
    <w:rsid w:val="00FB5792"/>
    <w:rsid w:val="00FB5AC6"/>
    <w:rsid w:val="00FB7807"/>
    <w:rsid w:val="00FB7F8F"/>
    <w:rsid w:val="00FC0099"/>
    <w:rsid w:val="00FC0ADF"/>
    <w:rsid w:val="00FC3315"/>
    <w:rsid w:val="00FC35DC"/>
    <w:rsid w:val="00FC5849"/>
    <w:rsid w:val="00FD2563"/>
    <w:rsid w:val="00FD25D8"/>
    <w:rsid w:val="00FD5917"/>
    <w:rsid w:val="00FD5AD8"/>
    <w:rsid w:val="00FD68F5"/>
    <w:rsid w:val="00FD76B9"/>
    <w:rsid w:val="00FE0214"/>
    <w:rsid w:val="00FE04C1"/>
    <w:rsid w:val="00FE0BB7"/>
    <w:rsid w:val="00FE1104"/>
    <w:rsid w:val="00FE129E"/>
    <w:rsid w:val="00FE4633"/>
    <w:rsid w:val="00FE4B06"/>
    <w:rsid w:val="00FE628A"/>
    <w:rsid w:val="00FE788A"/>
    <w:rsid w:val="00FE79B0"/>
    <w:rsid w:val="00FF2AA8"/>
    <w:rsid w:val="00FF3A86"/>
    <w:rsid w:val="00FF3B10"/>
    <w:rsid w:val="00FF4025"/>
    <w:rsid w:val="00FF41C9"/>
    <w:rsid w:val="00FF41F3"/>
    <w:rsid w:val="00FF4D97"/>
    <w:rsid w:val="00FF5084"/>
    <w:rsid w:val="00FF53CD"/>
    <w:rsid w:val="00FF56F8"/>
    <w:rsid w:val="00FF735D"/>
    <w:rsid w:val="00FF796D"/>
    <w:rsid w:val="00FF7A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02F282"/>
  <w15:docId w15:val="{EE2450FD-4C5B-47D7-BE23-9FE4DD0D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5CB4"/>
    <w:pPr>
      <w:spacing w:after="120"/>
      <w:ind w:left="720" w:hanging="720"/>
      <w:jc w:val="both"/>
    </w:pPr>
    <w:rPr>
      <w:rFonts w:ascii="Verdana" w:hAnsi="Verdana"/>
      <w:lang w:eastAsia="en-US"/>
    </w:rPr>
  </w:style>
  <w:style w:type="paragraph" w:styleId="Heading1">
    <w:name w:val="heading 1"/>
    <w:basedOn w:val="Normal"/>
    <w:next w:val="BodyText"/>
    <w:qFormat/>
    <w:pPr>
      <w:keepNext/>
      <w:widowControl w:val="0"/>
      <w:numPr>
        <w:numId w:val="6"/>
      </w:numPr>
      <w:tabs>
        <w:tab w:val="left" w:pos="5490"/>
      </w:tabs>
      <w:spacing w:before="120"/>
      <w:outlineLvl w:val="0"/>
    </w:pPr>
    <w:rPr>
      <w:b/>
      <w:smallCaps/>
      <w:snapToGrid w:val="0"/>
    </w:rPr>
  </w:style>
  <w:style w:type="paragraph" w:styleId="Heading2">
    <w:name w:val="heading 2"/>
    <w:basedOn w:val="Normal"/>
    <w:next w:val="BodyText"/>
    <w:qFormat/>
    <w:pPr>
      <w:keepNext/>
      <w:widowControl w:val="0"/>
      <w:numPr>
        <w:ilvl w:val="1"/>
        <w:numId w:val="6"/>
      </w:numPr>
      <w:tabs>
        <w:tab w:val="left" w:pos="2160"/>
        <w:tab w:val="left" w:pos="2883"/>
        <w:tab w:val="left" w:pos="5490"/>
      </w:tabs>
      <w:spacing w:before="120"/>
      <w:outlineLvl w:val="1"/>
    </w:pPr>
    <w:rPr>
      <w:b/>
      <w:bCs/>
      <w:smallCaps/>
      <w:snapToGrid w:val="0"/>
    </w:rPr>
  </w:style>
  <w:style w:type="paragraph" w:styleId="Heading3">
    <w:name w:val="heading 3"/>
    <w:basedOn w:val="Normal"/>
    <w:next w:val="Normal"/>
    <w:qFormat/>
    <w:pPr>
      <w:keepNext/>
      <w:widowControl w:val="0"/>
      <w:numPr>
        <w:ilvl w:val="2"/>
        <w:numId w:val="6"/>
      </w:numPr>
      <w:tabs>
        <w:tab w:val="left" w:pos="1443"/>
        <w:tab w:val="left" w:pos="2883"/>
        <w:tab w:val="left" w:pos="5490"/>
      </w:tabs>
      <w:spacing w:before="120"/>
      <w:outlineLvl w:val="2"/>
    </w:pPr>
    <w:rPr>
      <w:b/>
      <w:snapToGrid w:val="0"/>
    </w:rPr>
  </w:style>
  <w:style w:type="paragraph" w:styleId="Heading4">
    <w:name w:val="heading 4"/>
    <w:basedOn w:val="Normal"/>
    <w:next w:val="Normal"/>
    <w:qFormat/>
    <w:pPr>
      <w:keepNext/>
      <w:widowControl w:val="0"/>
      <w:numPr>
        <w:ilvl w:val="3"/>
        <w:numId w:val="6"/>
      </w:numPr>
      <w:tabs>
        <w:tab w:val="left" w:pos="5400"/>
        <w:tab w:val="left" w:pos="5850"/>
      </w:tabs>
      <w:outlineLvl w:val="3"/>
    </w:pPr>
    <w:rPr>
      <w:b/>
      <w:snapToGrid w:val="0"/>
      <w:color w:val="000000"/>
    </w:rPr>
  </w:style>
  <w:style w:type="paragraph" w:styleId="Heading5">
    <w:name w:val="heading 5"/>
    <w:basedOn w:val="Normal"/>
    <w:next w:val="Normal"/>
    <w:qFormat/>
    <w:pPr>
      <w:keepNext/>
      <w:widowControl w:val="0"/>
      <w:numPr>
        <w:ilvl w:val="4"/>
        <w:numId w:val="6"/>
      </w:numPr>
      <w:tabs>
        <w:tab w:val="left" w:pos="0"/>
        <w:tab w:val="left" w:pos="2160"/>
        <w:tab w:val="left" w:pos="5850"/>
      </w:tabs>
      <w:outlineLvl w:val="4"/>
    </w:pPr>
    <w:rPr>
      <w:b/>
      <w:snapToGrid w:val="0"/>
      <w:color w:val="000000"/>
    </w:rPr>
  </w:style>
  <w:style w:type="paragraph" w:styleId="Heading6">
    <w:name w:val="heading 6"/>
    <w:basedOn w:val="Normal"/>
    <w:next w:val="Normal"/>
    <w:qFormat/>
    <w:pPr>
      <w:keepNext/>
      <w:widowControl w:val="0"/>
      <w:numPr>
        <w:ilvl w:val="5"/>
        <w:numId w:val="6"/>
      </w:numPr>
      <w:tabs>
        <w:tab w:val="left" w:pos="0"/>
        <w:tab w:val="left" w:pos="2160"/>
        <w:tab w:val="left" w:pos="5850"/>
      </w:tabs>
      <w:outlineLvl w:val="5"/>
    </w:pPr>
    <w:rPr>
      <w:b/>
      <w:i/>
      <w:iCs/>
      <w:snapToGrid w:val="0"/>
      <w:color w:val="000000"/>
    </w:rPr>
  </w:style>
  <w:style w:type="paragraph" w:styleId="Heading7">
    <w:name w:val="heading 7"/>
    <w:basedOn w:val="Normal"/>
    <w:next w:val="Normal"/>
    <w:qFormat/>
    <w:pPr>
      <w:keepNext/>
      <w:numPr>
        <w:ilvl w:val="6"/>
        <w:numId w:val="6"/>
      </w:numPr>
      <w:jc w:val="right"/>
      <w:outlineLvl w:val="6"/>
    </w:pPr>
    <w:rPr>
      <w:b/>
      <w:smallCaps/>
      <w:sz w:val="22"/>
    </w:rPr>
  </w:style>
  <w:style w:type="paragraph" w:styleId="Heading8">
    <w:name w:val="heading 8"/>
    <w:basedOn w:val="Normal"/>
    <w:next w:val="Normal"/>
    <w:qFormat/>
    <w:pPr>
      <w:numPr>
        <w:ilvl w:val="7"/>
        <w:numId w:val="6"/>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firstLine="0"/>
    </w:pPr>
  </w:style>
  <w:style w:type="paragraph" w:styleId="BodyText">
    <w:name w:val="Body Text"/>
    <w:basedOn w:val="Normal"/>
    <w:link w:val="BodyTextChar"/>
    <w:pPr>
      <w:numPr>
        <w:ilvl w:val="1"/>
        <w:numId w:val="1"/>
      </w:numPr>
    </w:pPr>
    <w:rPr>
      <w:snapToGrid w:val="0"/>
    </w:rPr>
  </w:style>
  <w:style w:type="paragraph" w:styleId="BodyTextIndent2">
    <w:name w:val="Body Text Indent 2"/>
    <w:basedOn w:val="Normal"/>
    <w:link w:val="BodyTextIndent2Char"/>
    <w:pPr>
      <w:widowControl w:val="0"/>
      <w:numPr>
        <w:ilvl w:val="2"/>
        <w:numId w:val="1"/>
      </w:numPr>
      <w:tabs>
        <w:tab w:val="left" w:pos="2883"/>
        <w:tab w:val="left" w:pos="5490"/>
      </w:tabs>
    </w:pPr>
    <w:rPr>
      <w:snapToGrid w:val="0"/>
    </w:rPr>
  </w:style>
  <w:style w:type="paragraph" w:customStyle="1" w:styleId="Recommendation">
    <w:name w:val="Recommendation"/>
    <w:basedOn w:val="Normal"/>
    <w:pPr>
      <w:widowControl w:val="0"/>
      <w:tabs>
        <w:tab w:val="left" w:pos="1152"/>
        <w:tab w:val="left" w:pos="1533"/>
        <w:tab w:val="left" w:pos="2250"/>
        <w:tab w:val="left" w:pos="2970"/>
        <w:tab w:val="left" w:pos="3690"/>
      </w:tabs>
      <w:spacing w:before="60" w:after="60"/>
    </w:pPr>
    <w:rPr>
      <w:b/>
      <w:snapToGrid w:val="0"/>
    </w:rPr>
  </w:style>
  <w:style w:type="paragraph" w:customStyle="1" w:styleId="Headerleft">
    <w:name w:val="Header left"/>
    <w:basedOn w:val="Heading2"/>
    <w:pPr>
      <w:numPr>
        <w:numId w:val="0"/>
      </w:numPr>
      <w:tabs>
        <w:tab w:val="clear" w:pos="2160"/>
        <w:tab w:val="left" w:pos="1800"/>
      </w:tabs>
      <w:spacing w:after="0"/>
      <w:jc w:val="left"/>
    </w:pPr>
    <w:rPr>
      <w:smallCaps w:val="0"/>
    </w:rPr>
  </w:style>
  <w:style w:type="paragraph" w:customStyle="1" w:styleId="Headerright">
    <w:name w:val="Header right"/>
    <w:basedOn w:val="Heading7"/>
    <w:pPr>
      <w:numPr>
        <w:ilvl w:val="0"/>
        <w:numId w:val="0"/>
      </w:numPr>
    </w:pPr>
  </w:style>
  <w:style w:type="paragraph" w:customStyle="1" w:styleId="Contact">
    <w:name w:val="Contact"/>
    <w:basedOn w:val="Headerleft"/>
    <w:pPr>
      <w:ind w:left="1800"/>
    </w:pPr>
    <w:rPr>
      <w:i/>
      <w:iCs/>
      <w:smallCaps/>
      <w:sz w:val="18"/>
    </w:rPr>
  </w:style>
  <w:style w:type="paragraph" w:styleId="BodyText2">
    <w:name w:val="Body Text 2"/>
    <w:basedOn w:val="Normal"/>
    <w:pPr>
      <w:widowControl w:val="0"/>
      <w:tabs>
        <w:tab w:val="left" w:pos="0"/>
        <w:tab w:val="left" w:pos="1443"/>
        <w:tab w:val="left" w:pos="2883"/>
        <w:tab w:val="left" w:pos="5490"/>
      </w:tabs>
      <w:spacing w:before="144" w:after="144"/>
      <w:ind w:left="0" w:firstLine="0"/>
    </w:pPr>
    <w:rPr>
      <w:snapToGrid w:val="0"/>
      <w:color w:val="000000"/>
      <w:sz w:val="16"/>
    </w:rPr>
  </w:style>
  <w:style w:type="paragraph" w:styleId="BodyText3">
    <w:name w:val="Body Text 3"/>
    <w:basedOn w:val="Normal"/>
    <w:pPr>
      <w:widowControl w:val="0"/>
      <w:tabs>
        <w:tab w:val="left" w:pos="0"/>
        <w:tab w:val="left" w:pos="1443"/>
        <w:tab w:val="left" w:pos="2883"/>
        <w:tab w:val="left" w:pos="5490"/>
      </w:tabs>
      <w:spacing w:before="120" w:after="60"/>
      <w:ind w:left="0" w:firstLine="0"/>
      <w:jc w:val="left"/>
    </w:pPr>
    <w:rPr>
      <w:smallCaps/>
      <w:snapToGrid w:val="0"/>
      <w:sz w:val="18"/>
    </w:rPr>
  </w:style>
  <w:style w:type="paragraph" w:styleId="BalloonText">
    <w:name w:val="Balloon Text"/>
    <w:basedOn w:val="Normal"/>
    <w:semiHidden/>
    <w:rsid w:val="00E14A1F"/>
    <w:rPr>
      <w:rFonts w:ascii="Tahoma" w:hAnsi="Tahoma" w:cs="Tahoma"/>
      <w:sz w:val="16"/>
      <w:szCs w:val="16"/>
    </w:rPr>
  </w:style>
  <w:style w:type="paragraph" w:styleId="NormalWeb">
    <w:name w:val="Normal (Web)"/>
    <w:basedOn w:val="Normal"/>
    <w:uiPriority w:val="99"/>
    <w:rsid w:val="00313443"/>
    <w:pPr>
      <w:spacing w:before="100" w:beforeAutospacing="1" w:after="100" w:afterAutospacing="1"/>
      <w:ind w:left="0" w:firstLine="0"/>
      <w:jc w:val="left"/>
    </w:pPr>
    <w:rPr>
      <w:rFonts w:ascii="Times New Roman" w:hAnsi="Times New Roman" w:cs="Verdana"/>
      <w:sz w:val="24"/>
      <w:szCs w:val="24"/>
      <w:lang w:eastAsia="en-GB"/>
    </w:rPr>
  </w:style>
  <w:style w:type="character" w:styleId="Hyperlink">
    <w:name w:val="Hyperlink"/>
    <w:rsid w:val="00207132"/>
    <w:rPr>
      <w:color w:val="0000FF"/>
      <w:u w:val="single"/>
    </w:rPr>
  </w:style>
  <w:style w:type="paragraph" w:customStyle="1" w:styleId="Default">
    <w:name w:val="Default"/>
    <w:rsid w:val="006E7747"/>
    <w:pPr>
      <w:autoSpaceDE w:val="0"/>
      <w:autoSpaceDN w:val="0"/>
      <w:adjustRightInd w:val="0"/>
    </w:pPr>
    <w:rPr>
      <w:rFonts w:ascii="Verdana" w:hAnsi="Verdana" w:cs="Verdana"/>
      <w:color w:val="000000"/>
      <w:sz w:val="24"/>
      <w:szCs w:val="24"/>
      <w:lang w:val="en-US" w:eastAsia="en-US"/>
    </w:rPr>
  </w:style>
  <w:style w:type="character" w:styleId="CommentReference">
    <w:name w:val="annotation reference"/>
    <w:rsid w:val="003D6B6B"/>
    <w:rPr>
      <w:sz w:val="16"/>
      <w:szCs w:val="16"/>
    </w:rPr>
  </w:style>
  <w:style w:type="paragraph" w:styleId="CommentText">
    <w:name w:val="annotation text"/>
    <w:basedOn w:val="Normal"/>
    <w:link w:val="CommentTextChar"/>
    <w:rsid w:val="003D6B6B"/>
  </w:style>
  <w:style w:type="character" w:customStyle="1" w:styleId="CommentTextChar">
    <w:name w:val="Comment Text Char"/>
    <w:link w:val="CommentText"/>
    <w:rsid w:val="003D6B6B"/>
    <w:rPr>
      <w:rFonts w:ascii="Verdana" w:hAnsi="Verdana"/>
      <w:lang w:eastAsia="en-US"/>
    </w:rPr>
  </w:style>
  <w:style w:type="paragraph" w:styleId="CommentSubject">
    <w:name w:val="annotation subject"/>
    <w:basedOn w:val="CommentText"/>
    <w:next w:val="CommentText"/>
    <w:link w:val="CommentSubjectChar"/>
    <w:rsid w:val="003D6B6B"/>
    <w:rPr>
      <w:b/>
      <w:bCs/>
    </w:rPr>
  </w:style>
  <w:style w:type="character" w:customStyle="1" w:styleId="CommentSubjectChar">
    <w:name w:val="Comment Subject Char"/>
    <w:link w:val="CommentSubject"/>
    <w:rsid w:val="003D6B6B"/>
    <w:rPr>
      <w:rFonts w:ascii="Verdana" w:hAnsi="Verdana"/>
      <w:b/>
      <w:bCs/>
      <w:lang w:eastAsia="en-US"/>
    </w:rPr>
  </w:style>
  <w:style w:type="character" w:styleId="HTMLCite">
    <w:name w:val="HTML Cite"/>
    <w:basedOn w:val="DefaultParagraphFont"/>
    <w:rsid w:val="00640F4C"/>
    <w:rPr>
      <w:i w:val="0"/>
      <w:iCs w:val="0"/>
      <w:color w:val="009933"/>
    </w:rPr>
  </w:style>
  <w:style w:type="paragraph" w:styleId="ListParagraph">
    <w:name w:val="List Paragraph"/>
    <w:basedOn w:val="Normal"/>
    <w:uiPriority w:val="34"/>
    <w:qFormat/>
    <w:rsid w:val="003478B5"/>
    <w:pPr>
      <w:contextualSpacing/>
    </w:pPr>
  </w:style>
  <w:style w:type="character" w:styleId="Strong">
    <w:name w:val="Strong"/>
    <w:basedOn w:val="DefaultParagraphFont"/>
    <w:uiPriority w:val="22"/>
    <w:qFormat/>
    <w:rsid w:val="006C17F8"/>
    <w:rPr>
      <w:b/>
      <w:bCs/>
    </w:rPr>
  </w:style>
  <w:style w:type="character" w:styleId="Emphasis">
    <w:name w:val="Emphasis"/>
    <w:basedOn w:val="DefaultParagraphFont"/>
    <w:qFormat/>
    <w:rsid w:val="006C17F8"/>
    <w:rPr>
      <w:i/>
      <w:iCs/>
    </w:rPr>
  </w:style>
  <w:style w:type="paragraph" w:styleId="Quote">
    <w:name w:val="Quote"/>
    <w:basedOn w:val="Normal"/>
    <w:next w:val="Normal"/>
    <w:link w:val="QuoteChar"/>
    <w:uiPriority w:val="29"/>
    <w:qFormat/>
    <w:rsid w:val="006C17F8"/>
    <w:rPr>
      <w:i/>
      <w:iCs/>
      <w:color w:val="000000" w:themeColor="text1"/>
    </w:rPr>
  </w:style>
  <w:style w:type="character" w:customStyle="1" w:styleId="QuoteChar">
    <w:name w:val="Quote Char"/>
    <w:basedOn w:val="DefaultParagraphFont"/>
    <w:link w:val="Quote"/>
    <w:uiPriority w:val="29"/>
    <w:rsid w:val="006C17F8"/>
    <w:rPr>
      <w:rFonts w:ascii="Verdana" w:hAnsi="Verdana"/>
      <w:i/>
      <w:iCs/>
      <w:color w:val="000000" w:themeColor="text1"/>
      <w:lang w:eastAsia="en-US"/>
    </w:rPr>
  </w:style>
  <w:style w:type="paragraph" w:styleId="NoSpacing">
    <w:name w:val="No Spacing"/>
    <w:link w:val="NoSpacingChar"/>
    <w:uiPriority w:val="1"/>
    <w:qFormat/>
    <w:rsid w:val="00134DFB"/>
    <w:pPr>
      <w:ind w:left="720" w:hanging="720"/>
      <w:jc w:val="both"/>
    </w:pPr>
    <w:rPr>
      <w:rFonts w:ascii="Verdana" w:hAnsi="Verdana"/>
      <w:lang w:eastAsia="en-US"/>
    </w:rPr>
  </w:style>
  <w:style w:type="character" w:customStyle="1" w:styleId="BodyTextIndent2Char">
    <w:name w:val="Body Text Indent 2 Char"/>
    <w:basedOn w:val="DefaultParagraphFont"/>
    <w:link w:val="BodyTextIndent2"/>
    <w:rsid w:val="003A0746"/>
    <w:rPr>
      <w:rFonts w:ascii="Verdana" w:hAnsi="Verdana"/>
      <w:snapToGrid w:val="0"/>
      <w:lang w:eastAsia="en-US"/>
    </w:rPr>
  </w:style>
  <w:style w:type="character" w:styleId="BookTitle">
    <w:name w:val="Book Title"/>
    <w:basedOn w:val="DefaultParagraphFont"/>
    <w:uiPriority w:val="33"/>
    <w:qFormat/>
    <w:rsid w:val="00903224"/>
    <w:rPr>
      <w:b/>
      <w:bCs/>
      <w:smallCaps/>
      <w:spacing w:val="5"/>
    </w:rPr>
  </w:style>
  <w:style w:type="character" w:customStyle="1" w:styleId="BodyTextChar">
    <w:name w:val="Body Text Char"/>
    <w:basedOn w:val="DefaultParagraphFont"/>
    <w:link w:val="BodyText"/>
    <w:rsid w:val="001F0DC1"/>
    <w:rPr>
      <w:rFonts w:ascii="Verdana" w:hAnsi="Verdana"/>
      <w:snapToGrid w:val="0"/>
      <w:lang w:eastAsia="en-US"/>
    </w:rPr>
  </w:style>
  <w:style w:type="paragraph" w:customStyle="1" w:styleId="bullet2">
    <w:name w:val="bullet2"/>
    <w:basedOn w:val="Normal"/>
    <w:rsid w:val="009E7B4B"/>
    <w:pPr>
      <w:numPr>
        <w:numId w:val="2"/>
      </w:numPr>
      <w:spacing w:after="0"/>
      <w:jc w:val="left"/>
    </w:pPr>
    <w:rPr>
      <w:rFonts w:ascii="Times New Roman" w:hAnsi="Times New Roman"/>
      <w:sz w:val="24"/>
      <w:szCs w:val="24"/>
    </w:rPr>
  </w:style>
  <w:style w:type="table" w:styleId="TableGrid">
    <w:name w:val="Table Grid"/>
    <w:basedOn w:val="TableNormal"/>
    <w:uiPriority w:val="39"/>
    <w:rsid w:val="004A37AA"/>
    <w:rPr>
      <w:rFonts w:ascii="Arial" w:eastAsiaTheme="minorHAnsi" w:hAnsi="Arial" w:cs="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8A228B"/>
    <w:rPr>
      <w:rFonts w:ascii="Verdana" w:hAnsi="Verdana"/>
      <w:lang w:eastAsia="en-US"/>
    </w:rPr>
  </w:style>
  <w:style w:type="table" w:styleId="LightShading-Accent1">
    <w:name w:val="Light Shading Accent 1"/>
    <w:basedOn w:val="TableNormal"/>
    <w:uiPriority w:val="60"/>
    <w:rsid w:val="00071063"/>
    <w:pPr>
      <w:spacing w:before="200"/>
    </w:pPr>
    <w:rPr>
      <w:rFonts w:asciiTheme="minorHAnsi" w:eastAsiaTheme="minorEastAsia" w:hAnsiTheme="minorHAnsi" w:cstheme="minorBidi"/>
      <w:color w:val="365F91" w:themeColor="accent1" w:themeShade="BF"/>
      <w:sz w:val="22"/>
      <w:szCs w:val="22"/>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Text">
    <w:name w:val="endnote text"/>
    <w:basedOn w:val="Normal"/>
    <w:link w:val="EndnoteTextChar"/>
    <w:unhideWhenUsed/>
    <w:rsid w:val="005131B8"/>
    <w:pPr>
      <w:spacing w:after="0"/>
    </w:pPr>
  </w:style>
  <w:style w:type="character" w:customStyle="1" w:styleId="EndnoteTextChar">
    <w:name w:val="Endnote Text Char"/>
    <w:basedOn w:val="DefaultParagraphFont"/>
    <w:link w:val="EndnoteText"/>
    <w:rsid w:val="005131B8"/>
    <w:rPr>
      <w:rFonts w:ascii="Verdana" w:hAnsi="Verdana"/>
      <w:lang w:eastAsia="en-US"/>
    </w:rPr>
  </w:style>
  <w:style w:type="character" w:styleId="EndnoteReference">
    <w:name w:val="endnote reference"/>
    <w:basedOn w:val="DefaultParagraphFont"/>
    <w:semiHidden/>
    <w:unhideWhenUsed/>
    <w:rsid w:val="005131B8"/>
    <w:rPr>
      <w:vertAlign w:val="superscript"/>
    </w:rPr>
  </w:style>
  <w:style w:type="paragraph" w:styleId="FootnoteText">
    <w:name w:val="footnote text"/>
    <w:basedOn w:val="Normal"/>
    <w:link w:val="FootnoteTextChar"/>
    <w:semiHidden/>
    <w:unhideWhenUsed/>
    <w:rsid w:val="00754433"/>
    <w:pPr>
      <w:spacing w:after="0"/>
    </w:pPr>
  </w:style>
  <w:style w:type="character" w:customStyle="1" w:styleId="FootnoteTextChar">
    <w:name w:val="Footnote Text Char"/>
    <w:basedOn w:val="DefaultParagraphFont"/>
    <w:link w:val="FootnoteText"/>
    <w:semiHidden/>
    <w:rsid w:val="00754433"/>
    <w:rPr>
      <w:rFonts w:ascii="Verdana" w:hAnsi="Verdana"/>
      <w:lang w:eastAsia="en-US"/>
    </w:rPr>
  </w:style>
  <w:style w:type="character" w:styleId="FootnoteReference">
    <w:name w:val="footnote reference"/>
    <w:basedOn w:val="DefaultParagraphFont"/>
    <w:semiHidden/>
    <w:unhideWhenUsed/>
    <w:rsid w:val="00754433"/>
    <w:rPr>
      <w:vertAlign w:val="superscript"/>
    </w:rPr>
  </w:style>
  <w:style w:type="paragraph" w:styleId="Caption">
    <w:name w:val="caption"/>
    <w:basedOn w:val="Normal"/>
    <w:next w:val="Normal"/>
    <w:unhideWhenUsed/>
    <w:qFormat/>
    <w:rsid w:val="00371AA3"/>
    <w:pPr>
      <w:spacing w:after="200"/>
    </w:pPr>
    <w:rPr>
      <w:i/>
      <w:iCs/>
      <w:color w:val="1F497D" w:themeColor="text2"/>
      <w:sz w:val="18"/>
      <w:szCs w:val="18"/>
    </w:rPr>
  </w:style>
  <w:style w:type="paragraph" w:customStyle="1" w:styleId="xmsolistparagraph">
    <w:name w:val="x_msolistparagraph"/>
    <w:basedOn w:val="Normal"/>
    <w:rsid w:val="00732678"/>
    <w:pPr>
      <w:spacing w:before="100" w:beforeAutospacing="1" w:after="100" w:afterAutospacing="1"/>
      <w:ind w:left="0" w:firstLine="0"/>
      <w:jc w:val="left"/>
    </w:pPr>
    <w:rPr>
      <w:rFonts w:ascii="Times New Roman" w:hAnsi="Times New Roman"/>
      <w:sz w:val="24"/>
      <w:szCs w:val="24"/>
      <w:lang w:eastAsia="en-GB"/>
    </w:rPr>
  </w:style>
  <w:style w:type="character" w:customStyle="1" w:styleId="normaltextrun">
    <w:name w:val="normaltextrun"/>
    <w:basedOn w:val="DefaultParagraphFont"/>
    <w:rsid w:val="00732678"/>
  </w:style>
  <w:style w:type="paragraph" w:styleId="Title">
    <w:name w:val="Title"/>
    <w:basedOn w:val="Normal"/>
    <w:next w:val="Normal"/>
    <w:link w:val="TitleChar"/>
    <w:qFormat/>
    <w:rsid w:val="00D61D53"/>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D61D53"/>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660F1E"/>
    <w:rPr>
      <w:rFonts w:ascii="Verdana" w:hAnsi="Verdana"/>
      <w:lang w:eastAsia="en-US"/>
    </w:rPr>
  </w:style>
  <w:style w:type="table" w:styleId="PlainTable4">
    <w:name w:val="Plain Table 4"/>
    <w:basedOn w:val="TableNormal"/>
    <w:uiPriority w:val="44"/>
    <w:rsid w:val="00451C55"/>
    <w:rPr>
      <w:rFonts w:asciiTheme="minorHAnsi" w:eastAsiaTheme="minorHAnsi" w:hAnsiTheme="minorHAnsi" w:cstheme="minorBidi"/>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91036D"/>
    <w:rPr>
      <w:rFonts w:asciiTheme="minorHAnsi" w:eastAsiaTheme="minorHAnsi" w:hAnsiTheme="minorHAnsi" w:cstheme="minorBidi"/>
      <w:sz w:val="22"/>
      <w:szCs w:val="2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semiHidden/>
    <w:unhideWhenUsed/>
    <w:rsid w:val="00946566"/>
    <w:rPr>
      <w:color w:val="800080" w:themeColor="followedHyperlink"/>
      <w:u w:val="single"/>
    </w:rPr>
  </w:style>
  <w:style w:type="character" w:styleId="SubtleEmphasis">
    <w:name w:val="Subtle Emphasis"/>
    <w:basedOn w:val="DefaultParagraphFont"/>
    <w:uiPriority w:val="19"/>
    <w:qFormat/>
    <w:rsid w:val="008F1E1F"/>
    <w:rPr>
      <w:i/>
      <w:iCs/>
      <w:color w:val="404040" w:themeColor="text1" w:themeTint="BF"/>
    </w:rPr>
  </w:style>
  <w:style w:type="character" w:styleId="UnresolvedMention">
    <w:name w:val="Unresolved Mention"/>
    <w:basedOn w:val="DefaultParagraphFont"/>
    <w:uiPriority w:val="99"/>
    <w:semiHidden/>
    <w:unhideWhenUsed/>
    <w:rsid w:val="002310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6386">
      <w:bodyDiv w:val="1"/>
      <w:marLeft w:val="0"/>
      <w:marRight w:val="0"/>
      <w:marTop w:val="0"/>
      <w:marBottom w:val="0"/>
      <w:divBdr>
        <w:top w:val="none" w:sz="0" w:space="0" w:color="auto"/>
        <w:left w:val="none" w:sz="0" w:space="0" w:color="auto"/>
        <w:bottom w:val="none" w:sz="0" w:space="0" w:color="auto"/>
        <w:right w:val="none" w:sz="0" w:space="0" w:color="auto"/>
      </w:divBdr>
    </w:div>
    <w:div w:id="18093485">
      <w:bodyDiv w:val="1"/>
      <w:marLeft w:val="0"/>
      <w:marRight w:val="0"/>
      <w:marTop w:val="0"/>
      <w:marBottom w:val="0"/>
      <w:divBdr>
        <w:top w:val="none" w:sz="0" w:space="0" w:color="auto"/>
        <w:left w:val="none" w:sz="0" w:space="0" w:color="auto"/>
        <w:bottom w:val="none" w:sz="0" w:space="0" w:color="auto"/>
        <w:right w:val="none" w:sz="0" w:space="0" w:color="auto"/>
      </w:divBdr>
    </w:div>
    <w:div w:id="39671879">
      <w:bodyDiv w:val="1"/>
      <w:marLeft w:val="0"/>
      <w:marRight w:val="0"/>
      <w:marTop w:val="0"/>
      <w:marBottom w:val="0"/>
      <w:divBdr>
        <w:top w:val="none" w:sz="0" w:space="0" w:color="auto"/>
        <w:left w:val="none" w:sz="0" w:space="0" w:color="auto"/>
        <w:bottom w:val="none" w:sz="0" w:space="0" w:color="auto"/>
        <w:right w:val="none" w:sz="0" w:space="0" w:color="auto"/>
      </w:divBdr>
      <w:divsChild>
        <w:div w:id="1989286620">
          <w:marLeft w:val="0"/>
          <w:marRight w:val="0"/>
          <w:marTop w:val="0"/>
          <w:marBottom w:val="160"/>
          <w:divBdr>
            <w:top w:val="none" w:sz="0" w:space="0" w:color="auto"/>
            <w:left w:val="none" w:sz="0" w:space="0" w:color="auto"/>
            <w:bottom w:val="none" w:sz="0" w:space="0" w:color="auto"/>
            <w:right w:val="none" w:sz="0" w:space="0" w:color="auto"/>
          </w:divBdr>
        </w:div>
        <w:div w:id="1726485322">
          <w:marLeft w:val="0"/>
          <w:marRight w:val="0"/>
          <w:marTop w:val="0"/>
          <w:marBottom w:val="160"/>
          <w:divBdr>
            <w:top w:val="none" w:sz="0" w:space="0" w:color="auto"/>
            <w:left w:val="none" w:sz="0" w:space="0" w:color="auto"/>
            <w:bottom w:val="none" w:sz="0" w:space="0" w:color="auto"/>
            <w:right w:val="none" w:sz="0" w:space="0" w:color="auto"/>
          </w:divBdr>
        </w:div>
      </w:divsChild>
    </w:div>
    <w:div w:id="116879031">
      <w:bodyDiv w:val="1"/>
      <w:marLeft w:val="0"/>
      <w:marRight w:val="0"/>
      <w:marTop w:val="0"/>
      <w:marBottom w:val="0"/>
      <w:divBdr>
        <w:top w:val="none" w:sz="0" w:space="0" w:color="auto"/>
        <w:left w:val="none" w:sz="0" w:space="0" w:color="auto"/>
        <w:bottom w:val="none" w:sz="0" w:space="0" w:color="auto"/>
        <w:right w:val="none" w:sz="0" w:space="0" w:color="auto"/>
      </w:divBdr>
    </w:div>
    <w:div w:id="121726744">
      <w:bodyDiv w:val="1"/>
      <w:marLeft w:val="0"/>
      <w:marRight w:val="0"/>
      <w:marTop w:val="0"/>
      <w:marBottom w:val="0"/>
      <w:divBdr>
        <w:top w:val="none" w:sz="0" w:space="0" w:color="auto"/>
        <w:left w:val="none" w:sz="0" w:space="0" w:color="auto"/>
        <w:bottom w:val="none" w:sz="0" w:space="0" w:color="auto"/>
        <w:right w:val="none" w:sz="0" w:space="0" w:color="auto"/>
      </w:divBdr>
    </w:div>
    <w:div w:id="131365098">
      <w:bodyDiv w:val="1"/>
      <w:marLeft w:val="0"/>
      <w:marRight w:val="0"/>
      <w:marTop w:val="0"/>
      <w:marBottom w:val="0"/>
      <w:divBdr>
        <w:top w:val="none" w:sz="0" w:space="0" w:color="auto"/>
        <w:left w:val="none" w:sz="0" w:space="0" w:color="auto"/>
        <w:bottom w:val="none" w:sz="0" w:space="0" w:color="auto"/>
        <w:right w:val="none" w:sz="0" w:space="0" w:color="auto"/>
      </w:divBdr>
    </w:div>
    <w:div w:id="174150714">
      <w:bodyDiv w:val="1"/>
      <w:marLeft w:val="0"/>
      <w:marRight w:val="0"/>
      <w:marTop w:val="0"/>
      <w:marBottom w:val="0"/>
      <w:divBdr>
        <w:top w:val="none" w:sz="0" w:space="0" w:color="auto"/>
        <w:left w:val="none" w:sz="0" w:space="0" w:color="auto"/>
        <w:bottom w:val="none" w:sz="0" w:space="0" w:color="auto"/>
        <w:right w:val="none" w:sz="0" w:space="0" w:color="auto"/>
      </w:divBdr>
    </w:div>
    <w:div w:id="176045168">
      <w:bodyDiv w:val="1"/>
      <w:marLeft w:val="0"/>
      <w:marRight w:val="0"/>
      <w:marTop w:val="0"/>
      <w:marBottom w:val="0"/>
      <w:divBdr>
        <w:top w:val="none" w:sz="0" w:space="0" w:color="auto"/>
        <w:left w:val="none" w:sz="0" w:space="0" w:color="auto"/>
        <w:bottom w:val="none" w:sz="0" w:space="0" w:color="auto"/>
        <w:right w:val="none" w:sz="0" w:space="0" w:color="auto"/>
      </w:divBdr>
    </w:div>
    <w:div w:id="221256941">
      <w:bodyDiv w:val="1"/>
      <w:marLeft w:val="0"/>
      <w:marRight w:val="0"/>
      <w:marTop w:val="0"/>
      <w:marBottom w:val="0"/>
      <w:divBdr>
        <w:top w:val="none" w:sz="0" w:space="0" w:color="auto"/>
        <w:left w:val="none" w:sz="0" w:space="0" w:color="auto"/>
        <w:bottom w:val="none" w:sz="0" w:space="0" w:color="auto"/>
        <w:right w:val="none" w:sz="0" w:space="0" w:color="auto"/>
      </w:divBdr>
    </w:div>
    <w:div w:id="230117928">
      <w:bodyDiv w:val="1"/>
      <w:marLeft w:val="0"/>
      <w:marRight w:val="0"/>
      <w:marTop w:val="0"/>
      <w:marBottom w:val="0"/>
      <w:divBdr>
        <w:top w:val="none" w:sz="0" w:space="0" w:color="auto"/>
        <w:left w:val="none" w:sz="0" w:space="0" w:color="auto"/>
        <w:bottom w:val="none" w:sz="0" w:space="0" w:color="auto"/>
        <w:right w:val="none" w:sz="0" w:space="0" w:color="auto"/>
      </w:divBdr>
    </w:div>
    <w:div w:id="261567402">
      <w:bodyDiv w:val="1"/>
      <w:marLeft w:val="0"/>
      <w:marRight w:val="0"/>
      <w:marTop w:val="0"/>
      <w:marBottom w:val="0"/>
      <w:divBdr>
        <w:top w:val="none" w:sz="0" w:space="0" w:color="auto"/>
        <w:left w:val="none" w:sz="0" w:space="0" w:color="auto"/>
        <w:bottom w:val="none" w:sz="0" w:space="0" w:color="auto"/>
        <w:right w:val="none" w:sz="0" w:space="0" w:color="auto"/>
      </w:divBdr>
    </w:div>
    <w:div w:id="313798226">
      <w:bodyDiv w:val="1"/>
      <w:marLeft w:val="0"/>
      <w:marRight w:val="0"/>
      <w:marTop w:val="0"/>
      <w:marBottom w:val="0"/>
      <w:divBdr>
        <w:top w:val="none" w:sz="0" w:space="0" w:color="auto"/>
        <w:left w:val="none" w:sz="0" w:space="0" w:color="auto"/>
        <w:bottom w:val="none" w:sz="0" w:space="0" w:color="auto"/>
        <w:right w:val="none" w:sz="0" w:space="0" w:color="auto"/>
      </w:divBdr>
    </w:div>
    <w:div w:id="315380066">
      <w:bodyDiv w:val="1"/>
      <w:marLeft w:val="0"/>
      <w:marRight w:val="0"/>
      <w:marTop w:val="0"/>
      <w:marBottom w:val="0"/>
      <w:divBdr>
        <w:top w:val="none" w:sz="0" w:space="0" w:color="auto"/>
        <w:left w:val="none" w:sz="0" w:space="0" w:color="auto"/>
        <w:bottom w:val="none" w:sz="0" w:space="0" w:color="auto"/>
        <w:right w:val="none" w:sz="0" w:space="0" w:color="auto"/>
      </w:divBdr>
    </w:div>
    <w:div w:id="471367580">
      <w:bodyDiv w:val="1"/>
      <w:marLeft w:val="0"/>
      <w:marRight w:val="0"/>
      <w:marTop w:val="0"/>
      <w:marBottom w:val="0"/>
      <w:divBdr>
        <w:top w:val="none" w:sz="0" w:space="0" w:color="auto"/>
        <w:left w:val="none" w:sz="0" w:space="0" w:color="auto"/>
        <w:bottom w:val="none" w:sz="0" w:space="0" w:color="auto"/>
        <w:right w:val="none" w:sz="0" w:space="0" w:color="auto"/>
      </w:divBdr>
    </w:div>
    <w:div w:id="487478487">
      <w:bodyDiv w:val="1"/>
      <w:marLeft w:val="0"/>
      <w:marRight w:val="0"/>
      <w:marTop w:val="0"/>
      <w:marBottom w:val="0"/>
      <w:divBdr>
        <w:top w:val="none" w:sz="0" w:space="0" w:color="auto"/>
        <w:left w:val="none" w:sz="0" w:space="0" w:color="auto"/>
        <w:bottom w:val="none" w:sz="0" w:space="0" w:color="auto"/>
        <w:right w:val="none" w:sz="0" w:space="0" w:color="auto"/>
      </w:divBdr>
    </w:div>
    <w:div w:id="538980563">
      <w:bodyDiv w:val="1"/>
      <w:marLeft w:val="0"/>
      <w:marRight w:val="0"/>
      <w:marTop w:val="0"/>
      <w:marBottom w:val="0"/>
      <w:divBdr>
        <w:top w:val="none" w:sz="0" w:space="0" w:color="auto"/>
        <w:left w:val="none" w:sz="0" w:space="0" w:color="auto"/>
        <w:bottom w:val="none" w:sz="0" w:space="0" w:color="auto"/>
        <w:right w:val="none" w:sz="0" w:space="0" w:color="auto"/>
      </w:divBdr>
    </w:div>
    <w:div w:id="585382096">
      <w:bodyDiv w:val="1"/>
      <w:marLeft w:val="0"/>
      <w:marRight w:val="0"/>
      <w:marTop w:val="0"/>
      <w:marBottom w:val="0"/>
      <w:divBdr>
        <w:top w:val="none" w:sz="0" w:space="0" w:color="auto"/>
        <w:left w:val="none" w:sz="0" w:space="0" w:color="auto"/>
        <w:bottom w:val="none" w:sz="0" w:space="0" w:color="auto"/>
        <w:right w:val="none" w:sz="0" w:space="0" w:color="auto"/>
      </w:divBdr>
    </w:div>
    <w:div w:id="598834024">
      <w:bodyDiv w:val="1"/>
      <w:marLeft w:val="0"/>
      <w:marRight w:val="0"/>
      <w:marTop w:val="0"/>
      <w:marBottom w:val="0"/>
      <w:divBdr>
        <w:top w:val="none" w:sz="0" w:space="0" w:color="auto"/>
        <w:left w:val="none" w:sz="0" w:space="0" w:color="auto"/>
        <w:bottom w:val="none" w:sz="0" w:space="0" w:color="auto"/>
        <w:right w:val="none" w:sz="0" w:space="0" w:color="auto"/>
      </w:divBdr>
    </w:div>
    <w:div w:id="620767019">
      <w:bodyDiv w:val="1"/>
      <w:marLeft w:val="0"/>
      <w:marRight w:val="0"/>
      <w:marTop w:val="0"/>
      <w:marBottom w:val="0"/>
      <w:divBdr>
        <w:top w:val="none" w:sz="0" w:space="0" w:color="auto"/>
        <w:left w:val="none" w:sz="0" w:space="0" w:color="auto"/>
        <w:bottom w:val="none" w:sz="0" w:space="0" w:color="auto"/>
        <w:right w:val="none" w:sz="0" w:space="0" w:color="auto"/>
      </w:divBdr>
    </w:div>
    <w:div w:id="634142005">
      <w:bodyDiv w:val="1"/>
      <w:marLeft w:val="0"/>
      <w:marRight w:val="0"/>
      <w:marTop w:val="0"/>
      <w:marBottom w:val="0"/>
      <w:divBdr>
        <w:top w:val="none" w:sz="0" w:space="0" w:color="auto"/>
        <w:left w:val="none" w:sz="0" w:space="0" w:color="auto"/>
        <w:bottom w:val="none" w:sz="0" w:space="0" w:color="auto"/>
        <w:right w:val="none" w:sz="0" w:space="0" w:color="auto"/>
      </w:divBdr>
    </w:div>
    <w:div w:id="675230070">
      <w:bodyDiv w:val="1"/>
      <w:marLeft w:val="0"/>
      <w:marRight w:val="0"/>
      <w:marTop w:val="0"/>
      <w:marBottom w:val="0"/>
      <w:divBdr>
        <w:top w:val="none" w:sz="0" w:space="0" w:color="auto"/>
        <w:left w:val="none" w:sz="0" w:space="0" w:color="auto"/>
        <w:bottom w:val="none" w:sz="0" w:space="0" w:color="auto"/>
        <w:right w:val="none" w:sz="0" w:space="0" w:color="auto"/>
      </w:divBdr>
    </w:div>
    <w:div w:id="679477476">
      <w:bodyDiv w:val="1"/>
      <w:marLeft w:val="0"/>
      <w:marRight w:val="0"/>
      <w:marTop w:val="0"/>
      <w:marBottom w:val="0"/>
      <w:divBdr>
        <w:top w:val="none" w:sz="0" w:space="0" w:color="auto"/>
        <w:left w:val="none" w:sz="0" w:space="0" w:color="auto"/>
        <w:bottom w:val="none" w:sz="0" w:space="0" w:color="auto"/>
        <w:right w:val="none" w:sz="0" w:space="0" w:color="auto"/>
      </w:divBdr>
    </w:div>
    <w:div w:id="761267917">
      <w:bodyDiv w:val="1"/>
      <w:marLeft w:val="0"/>
      <w:marRight w:val="0"/>
      <w:marTop w:val="0"/>
      <w:marBottom w:val="0"/>
      <w:divBdr>
        <w:top w:val="none" w:sz="0" w:space="0" w:color="auto"/>
        <w:left w:val="none" w:sz="0" w:space="0" w:color="auto"/>
        <w:bottom w:val="none" w:sz="0" w:space="0" w:color="auto"/>
        <w:right w:val="none" w:sz="0" w:space="0" w:color="auto"/>
      </w:divBdr>
      <w:divsChild>
        <w:div w:id="551312295">
          <w:marLeft w:val="0"/>
          <w:marRight w:val="0"/>
          <w:marTop w:val="0"/>
          <w:marBottom w:val="0"/>
          <w:divBdr>
            <w:top w:val="none" w:sz="0" w:space="0" w:color="auto"/>
            <w:left w:val="none" w:sz="0" w:space="0" w:color="auto"/>
            <w:bottom w:val="single" w:sz="2" w:space="0" w:color="CFCFCF"/>
            <w:right w:val="none" w:sz="0" w:space="0" w:color="auto"/>
          </w:divBdr>
          <w:divsChild>
            <w:div w:id="328564182">
              <w:marLeft w:val="0"/>
              <w:marRight w:val="0"/>
              <w:marTop w:val="0"/>
              <w:marBottom w:val="0"/>
              <w:divBdr>
                <w:top w:val="none" w:sz="0" w:space="0" w:color="auto"/>
                <w:left w:val="none" w:sz="0" w:space="0" w:color="auto"/>
                <w:bottom w:val="none" w:sz="0" w:space="0" w:color="auto"/>
                <w:right w:val="none" w:sz="0" w:space="0" w:color="auto"/>
              </w:divBdr>
              <w:divsChild>
                <w:div w:id="895628159">
                  <w:marLeft w:val="0"/>
                  <w:marRight w:val="0"/>
                  <w:marTop w:val="0"/>
                  <w:marBottom w:val="0"/>
                  <w:divBdr>
                    <w:top w:val="none" w:sz="0" w:space="0" w:color="auto"/>
                    <w:left w:val="none" w:sz="0" w:space="0" w:color="auto"/>
                    <w:bottom w:val="none" w:sz="0" w:space="0" w:color="auto"/>
                    <w:right w:val="none" w:sz="0" w:space="0" w:color="auto"/>
                  </w:divBdr>
                  <w:divsChild>
                    <w:div w:id="724762729">
                      <w:marLeft w:val="0"/>
                      <w:marRight w:val="0"/>
                      <w:marTop w:val="0"/>
                      <w:marBottom w:val="0"/>
                      <w:divBdr>
                        <w:top w:val="none" w:sz="0" w:space="0" w:color="auto"/>
                        <w:left w:val="none" w:sz="0" w:space="0" w:color="auto"/>
                        <w:bottom w:val="none" w:sz="0" w:space="0" w:color="auto"/>
                        <w:right w:val="none" w:sz="0" w:space="0" w:color="auto"/>
                      </w:divBdr>
                      <w:divsChild>
                        <w:div w:id="1895922094">
                          <w:marLeft w:val="0"/>
                          <w:marRight w:val="0"/>
                          <w:marTop w:val="0"/>
                          <w:marBottom w:val="0"/>
                          <w:divBdr>
                            <w:top w:val="none" w:sz="0" w:space="0" w:color="auto"/>
                            <w:left w:val="none" w:sz="0" w:space="0" w:color="auto"/>
                            <w:bottom w:val="none" w:sz="0" w:space="0" w:color="auto"/>
                            <w:right w:val="none" w:sz="0" w:space="0" w:color="auto"/>
                          </w:divBdr>
                          <w:divsChild>
                            <w:div w:id="1313021870">
                              <w:marLeft w:val="0"/>
                              <w:marRight w:val="0"/>
                              <w:marTop w:val="0"/>
                              <w:marBottom w:val="0"/>
                              <w:divBdr>
                                <w:top w:val="none" w:sz="0" w:space="0" w:color="auto"/>
                                <w:left w:val="none" w:sz="0" w:space="0" w:color="auto"/>
                                <w:bottom w:val="none" w:sz="0" w:space="0" w:color="auto"/>
                                <w:right w:val="none" w:sz="0" w:space="0" w:color="auto"/>
                              </w:divBdr>
                              <w:divsChild>
                                <w:div w:id="2080206507">
                                  <w:marLeft w:val="0"/>
                                  <w:marRight w:val="0"/>
                                  <w:marTop w:val="0"/>
                                  <w:marBottom w:val="0"/>
                                  <w:divBdr>
                                    <w:top w:val="none" w:sz="0" w:space="0" w:color="auto"/>
                                    <w:left w:val="none" w:sz="0" w:space="0" w:color="auto"/>
                                    <w:bottom w:val="single" w:sz="6" w:space="0" w:color="D0D0D0"/>
                                    <w:right w:val="none" w:sz="0" w:space="0" w:color="auto"/>
                                  </w:divBdr>
                                  <w:divsChild>
                                    <w:div w:id="252396629">
                                      <w:marLeft w:val="0"/>
                                      <w:marRight w:val="0"/>
                                      <w:marTop w:val="0"/>
                                      <w:marBottom w:val="0"/>
                                      <w:divBdr>
                                        <w:top w:val="none" w:sz="0" w:space="0" w:color="auto"/>
                                        <w:left w:val="none" w:sz="0" w:space="0" w:color="auto"/>
                                        <w:bottom w:val="none" w:sz="0" w:space="0" w:color="auto"/>
                                        <w:right w:val="none" w:sz="0" w:space="0" w:color="auto"/>
                                      </w:divBdr>
                                      <w:divsChild>
                                        <w:div w:id="1569150198">
                                          <w:marLeft w:val="0"/>
                                          <w:marRight w:val="0"/>
                                          <w:marTop w:val="0"/>
                                          <w:marBottom w:val="0"/>
                                          <w:divBdr>
                                            <w:top w:val="none" w:sz="0" w:space="0" w:color="auto"/>
                                            <w:left w:val="none" w:sz="0" w:space="0" w:color="auto"/>
                                            <w:bottom w:val="none" w:sz="0" w:space="0" w:color="auto"/>
                                            <w:right w:val="none" w:sz="0" w:space="0" w:color="auto"/>
                                          </w:divBdr>
                                          <w:divsChild>
                                            <w:div w:id="804466630">
                                              <w:marLeft w:val="0"/>
                                              <w:marRight w:val="0"/>
                                              <w:marTop w:val="0"/>
                                              <w:marBottom w:val="0"/>
                                              <w:divBdr>
                                                <w:top w:val="none" w:sz="0" w:space="0" w:color="auto"/>
                                                <w:left w:val="none" w:sz="0" w:space="0" w:color="auto"/>
                                                <w:bottom w:val="none" w:sz="0" w:space="0" w:color="auto"/>
                                                <w:right w:val="none" w:sz="0" w:space="0" w:color="auto"/>
                                              </w:divBdr>
                                              <w:divsChild>
                                                <w:div w:id="1343169039">
                                                  <w:marLeft w:val="0"/>
                                                  <w:marRight w:val="0"/>
                                                  <w:marTop w:val="0"/>
                                                  <w:marBottom w:val="0"/>
                                                  <w:divBdr>
                                                    <w:top w:val="none" w:sz="0" w:space="0" w:color="auto"/>
                                                    <w:left w:val="none" w:sz="0" w:space="0" w:color="auto"/>
                                                    <w:bottom w:val="none" w:sz="0" w:space="0" w:color="auto"/>
                                                    <w:right w:val="none" w:sz="0" w:space="0" w:color="auto"/>
                                                  </w:divBdr>
                                                  <w:divsChild>
                                                    <w:div w:id="1945766341">
                                                      <w:marLeft w:val="0"/>
                                                      <w:marRight w:val="0"/>
                                                      <w:marTop w:val="0"/>
                                                      <w:marBottom w:val="0"/>
                                                      <w:divBdr>
                                                        <w:top w:val="none" w:sz="0" w:space="0" w:color="auto"/>
                                                        <w:left w:val="none" w:sz="0" w:space="0" w:color="auto"/>
                                                        <w:bottom w:val="none" w:sz="0" w:space="0" w:color="auto"/>
                                                        <w:right w:val="none" w:sz="0" w:space="0" w:color="auto"/>
                                                      </w:divBdr>
                                                      <w:divsChild>
                                                        <w:div w:id="6187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435711">
      <w:bodyDiv w:val="1"/>
      <w:marLeft w:val="0"/>
      <w:marRight w:val="0"/>
      <w:marTop w:val="0"/>
      <w:marBottom w:val="0"/>
      <w:divBdr>
        <w:top w:val="none" w:sz="0" w:space="0" w:color="auto"/>
        <w:left w:val="none" w:sz="0" w:space="0" w:color="auto"/>
        <w:bottom w:val="none" w:sz="0" w:space="0" w:color="auto"/>
        <w:right w:val="none" w:sz="0" w:space="0" w:color="auto"/>
      </w:divBdr>
    </w:div>
    <w:div w:id="788469706">
      <w:bodyDiv w:val="1"/>
      <w:marLeft w:val="0"/>
      <w:marRight w:val="0"/>
      <w:marTop w:val="0"/>
      <w:marBottom w:val="0"/>
      <w:divBdr>
        <w:top w:val="none" w:sz="0" w:space="0" w:color="auto"/>
        <w:left w:val="none" w:sz="0" w:space="0" w:color="auto"/>
        <w:bottom w:val="none" w:sz="0" w:space="0" w:color="auto"/>
        <w:right w:val="none" w:sz="0" w:space="0" w:color="auto"/>
      </w:divBdr>
    </w:div>
    <w:div w:id="789588897">
      <w:bodyDiv w:val="1"/>
      <w:marLeft w:val="0"/>
      <w:marRight w:val="0"/>
      <w:marTop w:val="0"/>
      <w:marBottom w:val="0"/>
      <w:divBdr>
        <w:top w:val="none" w:sz="0" w:space="0" w:color="auto"/>
        <w:left w:val="none" w:sz="0" w:space="0" w:color="auto"/>
        <w:bottom w:val="none" w:sz="0" w:space="0" w:color="auto"/>
        <w:right w:val="none" w:sz="0" w:space="0" w:color="auto"/>
      </w:divBdr>
      <w:divsChild>
        <w:div w:id="16931314">
          <w:marLeft w:val="446"/>
          <w:marRight w:val="0"/>
          <w:marTop w:val="0"/>
          <w:marBottom w:val="0"/>
          <w:divBdr>
            <w:top w:val="none" w:sz="0" w:space="0" w:color="auto"/>
            <w:left w:val="none" w:sz="0" w:space="0" w:color="auto"/>
            <w:bottom w:val="none" w:sz="0" w:space="0" w:color="auto"/>
            <w:right w:val="none" w:sz="0" w:space="0" w:color="auto"/>
          </w:divBdr>
        </w:div>
        <w:div w:id="44454899">
          <w:marLeft w:val="446"/>
          <w:marRight w:val="0"/>
          <w:marTop w:val="0"/>
          <w:marBottom w:val="0"/>
          <w:divBdr>
            <w:top w:val="none" w:sz="0" w:space="0" w:color="auto"/>
            <w:left w:val="none" w:sz="0" w:space="0" w:color="auto"/>
            <w:bottom w:val="none" w:sz="0" w:space="0" w:color="auto"/>
            <w:right w:val="none" w:sz="0" w:space="0" w:color="auto"/>
          </w:divBdr>
        </w:div>
        <w:div w:id="586421561">
          <w:marLeft w:val="446"/>
          <w:marRight w:val="0"/>
          <w:marTop w:val="0"/>
          <w:marBottom w:val="0"/>
          <w:divBdr>
            <w:top w:val="none" w:sz="0" w:space="0" w:color="auto"/>
            <w:left w:val="none" w:sz="0" w:space="0" w:color="auto"/>
            <w:bottom w:val="none" w:sz="0" w:space="0" w:color="auto"/>
            <w:right w:val="none" w:sz="0" w:space="0" w:color="auto"/>
          </w:divBdr>
        </w:div>
        <w:div w:id="1108349237">
          <w:marLeft w:val="446"/>
          <w:marRight w:val="0"/>
          <w:marTop w:val="0"/>
          <w:marBottom w:val="0"/>
          <w:divBdr>
            <w:top w:val="none" w:sz="0" w:space="0" w:color="auto"/>
            <w:left w:val="none" w:sz="0" w:space="0" w:color="auto"/>
            <w:bottom w:val="none" w:sz="0" w:space="0" w:color="auto"/>
            <w:right w:val="none" w:sz="0" w:space="0" w:color="auto"/>
          </w:divBdr>
        </w:div>
      </w:divsChild>
    </w:div>
    <w:div w:id="791170061">
      <w:bodyDiv w:val="1"/>
      <w:marLeft w:val="0"/>
      <w:marRight w:val="0"/>
      <w:marTop w:val="0"/>
      <w:marBottom w:val="0"/>
      <w:divBdr>
        <w:top w:val="none" w:sz="0" w:space="0" w:color="auto"/>
        <w:left w:val="none" w:sz="0" w:space="0" w:color="auto"/>
        <w:bottom w:val="none" w:sz="0" w:space="0" w:color="auto"/>
        <w:right w:val="none" w:sz="0" w:space="0" w:color="auto"/>
      </w:divBdr>
      <w:divsChild>
        <w:div w:id="1313556254">
          <w:marLeft w:val="547"/>
          <w:marRight w:val="0"/>
          <w:marTop w:val="200"/>
          <w:marBottom w:val="0"/>
          <w:divBdr>
            <w:top w:val="none" w:sz="0" w:space="0" w:color="auto"/>
            <w:left w:val="none" w:sz="0" w:space="0" w:color="auto"/>
            <w:bottom w:val="none" w:sz="0" w:space="0" w:color="auto"/>
            <w:right w:val="none" w:sz="0" w:space="0" w:color="auto"/>
          </w:divBdr>
        </w:div>
        <w:div w:id="2060280393">
          <w:marLeft w:val="547"/>
          <w:marRight w:val="0"/>
          <w:marTop w:val="200"/>
          <w:marBottom w:val="0"/>
          <w:divBdr>
            <w:top w:val="none" w:sz="0" w:space="0" w:color="auto"/>
            <w:left w:val="none" w:sz="0" w:space="0" w:color="auto"/>
            <w:bottom w:val="none" w:sz="0" w:space="0" w:color="auto"/>
            <w:right w:val="none" w:sz="0" w:space="0" w:color="auto"/>
          </w:divBdr>
        </w:div>
        <w:div w:id="1529754896">
          <w:marLeft w:val="547"/>
          <w:marRight w:val="0"/>
          <w:marTop w:val="200"/>
          <w:marBottom w:val="0"/>
          <w:divBdr>
            <w:top w:val="none" w:sz="0" w:space="0" w:color="auto"/>
            <w:left w:val="none" w:sz="0" w:space="0" w:color="auto"/>
            <w:bottom w:val="none" w:sz="0" w:space="0" w:color="auto"/>
            <w:right w:val="none" w:sz="0" w:space="0" w:color="auto"/>
          </w:divBdr>
        </w:div>
      </w:divsChild>
    </w:div>
    <w:div w:id="849805618">
      <w:bodyDiv w:val="1"/>
      <w:marLeft w:val="0"/>
      <w:marRight w:val="0"/>
      <w:marTop w:val="0"/>
      <w:marBottom w:val="0"/>
      <w:divBdr>
        <w:top w:val="none" w:sz="0" w:space="0" w:color="auto"/>
        <w:left w:val="none" w:sz="0" w:space="0" w:color="auto"/>
        <w:bottom w:val="none" w:sz="0" w:space="0" w:color="auto"/>
        <w:right w:val="none" w:sz="0" w:space="0" w:color="auto"/>
      </w:divBdr>
    </w:div>
    <w:div w:id="884414223">
      <w:bodyDiv w:val="1"/>
      <w:marLeft w:val="0"/>
      <w:marRight w:val="0"/>
      <w:marTop w:val="0"/>
      <w:marBottom w:val="0"/>
      <w:divBdr>
        <w:top w:val="none" w:sz="0" w:space="0" w:color="auto"/>
        <w:left w:val="none" w:sz="0" w:space="0" w:color="auto"/>
        <w:bottom w:val="none" w:sz="0" w:space="0" w:color="auto"/>
        <w:right w:val="none" w:sz="0" w:space="0" w:color="auto"/>
      </w:divBdr>
    </w:div>
    <w:div w:id="929506387">
      <w:bodyDiv w:val="1"/>
      <w:marLeft w:val="0"/>
      <w:marRight w:val="0"/>
      <w:marTop w:val="0"/>
      <w:marBottom w:val="0"/>
      <w:divBdr>
        <w:top w:val="none" w:sz="0" w:space="0" w:color="auto"/>
        <w:left w:val="none" w:sz="0" w:space="0" w:color="auto"/>
        <w:bottom w:val="none" w:sz="0" w:space="0" w:color="auto"/>
        <w:right w:val="none" w:sz="0" w:space="0" w:color="auto"/>
      </w:divBdr>
    </w:div>
    <w:div w:id="998072236">
      <w:bodyDiv w:val="1"/>
      <w:marLeft w:val="0"/>
      <w:marRight w:val="0"/>
      <w:marTop w:val="0"/>
      <w:marBottom w:val="0"/>
      <w:divBdr>
        <w:top w:val="none" w:sz="0" w:space="0" w:color="auto"/>
        <w:left w:val="none" w:sz="0" w:space="0" w:color="auto"/>
        <w:bottom w:val="none" w:sz="0" w:space="0" w:color="auto"/>
        <w:right w:val="none" w:sz="0" w:space="0" w:color="auto"/>
      </w:divBdr>
    </w:div>
    <w:div w:id="998650268">
      <w:bodyDiv w:val="1"/>
      <w:marLeft w:val="0"/>
      <w:marRight w:val="0"/>
      <w:marTop w:val="0"/>
      <w:marBottom w:val="0"/>
      <w:divBdr>
        <w:top w:val="none" w:sz="0" w:space="0" w:color="auto"/>
        <w:left w:val="none" w:sz="0" w:space="0" w:color="auto"/>
        <w:bottom w:val="none" w:sz="0" w:space="0" w:color="auto"/>
        <w:right w:val="none" w:sz="0" w:space="0" w:color="auto"/>
      </w:divBdr>
    </w:div>
    <w:div w:id="1002859576">
      <w:bodyDiv w:val="1"/>
      <w:marLeft w:val="0"/>
      <w:marRight w:val="0"/>
      <w:marTop w:val="0"/>
      <w:marBottom w:val="0"/>
      <w:divBdr>
        <w:top w:val="none" w:sz="0" w:space="0" w:color="auto"/>
        <w:left w:val="none" w:sz="0" w:space="0" w:color="auto"/>
        <w:bottom w:val="none" w:sz="0" w:space="0" w:color="auto"/>
        <w:right w:val="none" w:sz="0" w:space="0" w:color="auto"/>
      </w:divBdr>
    </w:div>
    <w:div w:id="1008212446">
      <w:bodyDiv w:val="1"/>
      <w:marLeft w:val="0"/>
      <w:marRight w:val="0"/>
      <w:marTop w:val="0"/>
      <w:marBottom w:val="0"/>
      <w:divBdr>
        <w:top w:val="none" w:sz="0" w:space="0" w:color="auto"/>
        <w:left w:val="none" w:sz="0" w:space="0" w:color="auto"/>
        <w:bottom w:val="none" w:sz="0" w:space="0" w:color="auto"/>
        <w:right w:val="none" w:sz="0" w:space="0" w:color="auto"/>
      </w:divBdr>
      <w:divsChild>
        <w:div w:id="126825757">
          <w:marLeft w:val="547"/>
          <w:marRight w:val="0"/>
          <w:marTop w:val="200"/>
          <w:marBottom w:val="0"/>
          <w:divBdr>
            <w:top w:val="none" w:sz="0" w:space="0" w:color="auto"/>
            <w:left w:val="none" w:sz="0" w:space="0" w:color="auto"/>
            <w:bottom w:val="none" w:sz="0" w:space="0" w:color="auto"/>
            <w:right w:val="none" w:sz="0" w:space="0" w:color="auto"/>
          </w:divBdr>
        </w:div>
        <w:div w:id="1218934662">
          <w:marLeft w:val="547"/>
          <w:marRight w:val="0"/>
          <w:marTop w:val="200"/>
          <w:marBottom w:val="0"/>
          <w:divBdr>
            <w:top w:val="none" w:sz="0" w:space="0" w:color="auto"/>
            <w:left w:val="none" w:sz="0" w:space="0" w:color="auto"/>
            <w:bottom w:val="none" w:sz="0" w:space="0" w:color="auto"/>
            <w:right w:val="none" w:sz="0" w:space="0" w:color="auto"/>
          </w:divBdr>
        </w:div>
        <w:div w:id="256138914">
          <w:marLeft w:val="547"/>
          <w:marRight w:val="0"/>
          <w:marTop w:val="200"/>
          <w:marBottom w:val="0"/>
          <w:divBdr>
            <w:top w:val="none" w:sz="0" w:space="0" w:color="auto"/>
            <w:left w:val="none" w:sz="0" w:space="0" w:color="auto"/>
            <w:bottom w:val="none" w:sz="0" w:space="0" w:color="auto"/>
            <w:right w:val="none" w:sz="0" w:space="0" w:color="auto"/>
          </w:divBdr>
        </w:div>
        <w:div w:id="2144954865">
          <w:marLeft w:val="547"/>
          <w:marRight w:val="0"/>
          <w:marTop w:val="200"/>
          <w:marBottom w:val="0"/>
          <w:divBdr>
            <w:top w:val="none" w:sz="0" w:space="0" w:color="auto"/>
            <w:left w:val="none" w:sz="0" w:space="0" w:color="auto"/>
            <w:bottom w:val="none" w:sz="0" w:space="0" w:color="auto"/>
            <w:right w:val="none" w:sz="0" w:space="0" w:color="auto"/>
          </w:divBdr>
        </w:div>
        <w:div w:id="737938387">
          <w:marLeft w:val="547"/>
          <w:marRight w:val="0"/>
          <w:marTop w:val="200"/>
          <w:marBottom w:val="0"/>
          <w:divBdr>
            <w:top w:val="none" w:sz="0" w:space="0" w:color="auto"/>
            <w:left w:val="none" w:sz="0" w:space="0" w:color="auto"/>
            <w:bottom w:val="none" w:sz="0" w:space="0" w:color="auto"/>
            <w:right w:val="none" w:sz="0" w:space="0" w:color="auto"/>
          </w:divBdr>
        </w:div>
      </w:divsChild>
    </w:div>
    <w:div w:id="1093622660">
      <w:bodyDiv w:val="1"/>
      <w:marLeft w:val="0"/>
      <w:marRight w:val="0"/>
      <w:marTop w:val="0"/>
      <w:marBottom w:val="0"/>
      <w:divBdr>
        <w:top w:val="none" w:sz="0" w:space="0" w:color="auto"/>
        <w:left w:val="none" w:sz="0" w:space="0" w:color="auto"/>
        <w:bottom w:val="none" w:sz="0" w:space="0" w:color="auto"/>
        <w:right w:val="none" w:sz="0" w:space="0" w:color="auto"/>
      </w:divBdr>
      <w:divsChild>
        <w:div w:id="1129320998">
          <w:marLeft w:val="0"/>
          <w:marRight w:val="0"/>
          <w:marTop w:val="0"/>
          <w:marBottom w:val="160"/>
          <w:divBdr>
            <w:top w:val="none" w:sz="0" w:space="0" w:color="auto"/>
            <w:left w:val="none" w:sz="0" w:space="0" w:color="auto"/>
            <w:bottom w:val="none" w:sz="0" w:space="0" w:color="auto"/>
            <w:right w:val="none" w:sz="0" w:space="0" w:color="auto"/>
          </w:divBdr>
        </w:div>
      </w:divsChild>
    </w:div>
    <w:div w:id="1105150936">
      <w:bodyDiv w:val="1"/>
      <w:marLeft w:val="0"/>
      <w:marRight w:val="0"/>
      <w:marTop w:val="0"/>
      <w:marBottom w:val="0"/>
      <w:divBdr>
        <w:top w:val="none" w:sz="0" w:space="0" w:color="auto"/>
        <w:left w:val="none" w:sz="0" w:space="0" w:color="auto"/>
        <w:bottom w:val="none" w:sz="0" w:space="0" w:color="auto"/>
        <w:right w:val="none" w:sz="0" w:space="0" w:color="auto"/>
      </w:divBdr>
    </w:div>
    <w:div w:id="1106969934">
      <w:bodyDiv w:val="1"/>
      <w:marLeft w:val="0"/>
      <w:marRight w:val="0"/>
      <w:marTop w:val="0"/>
      <w:marBottom w:val="0"/>
      <w:divBdr>
        <w:top w:val="none" w:sz="0" w:space="0" w:color="auto"/>
        <w:left w:val="none" w:sz="0" w:space="0" w:color="auto"/>
        <w:bottom w:val="none" w:sz="0" w:space="0" w:color="auto"/>
        <w:right w:val="none" w:sz="0" w:space="0" w:color="auto"/>
      </w:divBdr>
    </w:div>
    <w:div w:id="1122458907">
      <w:bodyDiv w:val="1"/>
      <w:marLeft w:val="0"/>
      <w:marRight w:val="0"/>
      <w:marTop w:val="0"/>
      <w:marBottom w:val="0"/>
      <w:divBdr>
        <w:top w:val="none" w:sz="0" w:space="0" w:color="auto"/>
        <w:left w:val="none" w:sz="0" w:space="0" w:color="auto"/>
        <w:bottom w:val="none" w:sz="0" w:space="0" w:color="auto"/>
        <w:right w:val="none" w:sz="0" w:space="0" w:color="auto"/>
      </w:divBdr>
    </w:div>
    <w:div w:id="1156804959">
      <w:bodyDiv w:val="1"/>
      <w:marLeft w:val="0"/>
      <w:marRight w:val="0"/>
      <w:marTop w:val="0"/>
      <w:marBottom w:val="0"/>
      <w:divBdr>
        <w:top w:val="none" w:sz="0" w:space="0" w:color="auto"/>
        <w:left w:val="none" w:sz="0" w:space="0" w:color="auto"/>
        <w:bottom w:val="none" w:sz="0" w:space="0" w:color="auto"/>
        <w:right w:val="none" w:sz="0" w:space="0" w:color="auto"/>
      </w:divBdr>
      <w:divsChild>
        <w:div w:id="329909180">
          <w:marLeft w:val="0"/>
          <w:marRight w:val="0"/>
          <w:marTop w:val="0"/>
          <w:marBottom w:val="0"/>
          <w:divBdr>
            <w:top w:val="none" w:sz="0" w:space="0" w:color="auto"/>
            <w:left w:val="none" w:sz="0" w:space="0" w:color="auto"/>
            <w:bottom w:val="none" w:sz="0" w:space="0" w:color="auto"/>
            <w:right w:val="none" w:sz="0" w:space="0" w:color="auto"/>
          </w:divBdr>
          <w:divsChild>
            <w:div w:id="1121681367">
              <w:marLeft w:val="0"/>
              <w:marRight w:val="0"/>
              <w:marTop w:val="0"/>
              <w:marBottom w:val="0"/>
              <w:divBdr>
                <w:top w:val="none" w:sz="0" w:space="0" w:color="auto"/>
                <w:left w:val="none" w:sz="0" w:space="0" w:color="auto"/>
                <w:bottom w:val="none" w:sz="0" w:space="0" w:color="auto"/>
                <w:right w:val="none" w:sz="0" w:space="0" w:color="auto"/>
              </w:divBdr>
              <w:divsChild>
                <w:div w:id="643436750">
                  <w:marLeft w:val="0"/>
                  <w:marRight w:val="0"/>
                  <w:marTop w:val="0"/>
                  <w:marBottom w:val="0"/>
                  <w:divBdr>
                    <w:top w:val="none" w:sz="0" w:space="0" w:color="auto"/>
                    <w:left w:val="none" w:sz="0" w:space="0" w:color="auto"/>
                    <w:bottom w:val="none" w:sz="0" w:space="0" w:color="auto"/>
                    <w:right w:val="none" w:sz="0" w:space="0" w:color="auto"/>
                  </w:divBdr>
                  <w:divsChild>
                    <w:div w:id="28070749">
                      <w:marLeft w:val="0"/>
                      <w:marRight w:val="0"/>
                      <w:marTop w:val="0"/>
                      <w:marBottom w:val="0"/>
                      <w:divBdr>
                        <w:top w:val="none" w:sz="0" w:space="0" w:color="auto"/>
                        <w:left w:val="none" w:sz="0" w:space="0" w:color="auto"/>
                        <w:bottom w:val="none" w:sz="0" w:space="0" w:color="auto"/>
                        <w:right w:val="none" w:sz="0" w:space="0" w:color="auto"/>
                      </w:divBdr>
                      <w:divsChild>
                        <w:div w:id="1064795031">
                          <w:marLeft w:val="0"/>
                          <w:marRight w:val="0"/>
                          <w:marTop w:val="45"/>
                          <w:marBottom w:val="0"/>
                          <w:divBdr>
                            <w:top w:val="none" w:sz="0" w:space="0" w:color="auto"/>
                            <w:left w:val="none" w:sz="0" w:space="0" w:color="auto"/>
                            <w:bottom w:val="none" w:sz="0" w:space="0" w:color="auto"/>
                            <w:right w:val="none" w:sz="0" w:space="0" w:color="auto"/>
                          </w:divBdr>
                          <w:divsChild>
                            <w:div w:id="1247573963">
                              <w:marLeft w:val="1800"/>
                              <w:marRight w:val="3810"/>
                              <w:marTop w:val="0"/>
                              <w:marBottom w:val="0"/>
                              <w:divBdr>
                                <w:top w:val="none" w:sz="0" w:space="0" w:color="auto"/>
                                <w:left w:val="none" w:sz="0" w:space="0" w:color="auto"/>
                                <w:bottom w:val="none" w:sz="0" w:space="0" w:color="auto"/>
                                <w:right w:val="none" w:sz="0" w:space="0" w:color="auto"/>
                              </w:divBdr>
                              <w:divsChild>
                                <w:div w:id="133454402">
                                  <w:marLeft w:val="0"/>
                                  <w:marRight w:val="0"/>
                                  <w:marTop w:val="0"/>
                                  <w:marBottom w:val="0"/>
                                  <w:divBdr>
                                    <w:top w:val="none" w:sz="0" w:space="0" w:color="auto"/>
                                    <w:left w:val="none" w:sz="0" w:space="0" w:color="auto"/>
                                    <w:bottom w:val="none" w:sz="0" w:space="0" w:color="auto"/>
                                    <w:right w:val="none" w:sz="0" w:space="0" w:color="auto"/>
                                  </w:divBdr>
                                  <w:divsChild>
                                    <w:div w:id="462432452">
                                      <w:marLeft w:val="0"/>
                                      <w:marRight w:val="0"/>
                                      <w:marTop w:val="0"/>
                                      <w:marBottom w:val="0"/>
                                      <w:divBdr>
                                        <w:top w:val="none" w:sz="0" w:space="0" w:color="auto"/>
                                        <w:left w:val="none" w:sz="0" w:space="0" w:color="auto"/>
                                        <w:bottom w:val="none" w:sz="0" w:space="0" w:color="auto"/>
                                        <w:right w:val="none" w:sz="0" w:space="0" w:color="auto"/>
                                      </w:divBdr>
                                      <w:divsChild>
                                        <w:div w:id="357050371">
                                          <w:marLeft w:val="0"/>
                                          <w:marRight w:val="0"/>
                                          <w:marTop w:val="0"/>
                                          <w:marBottom w:val="0"/>
                                          <w:divBdr>
                                            <w:top w:val="none" w:sz="0" w:space="0" w:color="auto"/>
                                            <w:left w:val="none" w:sz="0" w:space="0" w:color="auto"/>
                                            <w:bottom w:val="none" w:sz="0" w:space="0" w:color="auto"/>
                                            <w:right w:val="none" w:sz="0" w:space="0" w:color="auto"/>
                                          </w:divBdr>
                                          <w:divsChild>
                                            <w:div w:id="383066151">
                                              <w:marLeft w:val="0"/>
                                              <w:marRight w:val="0"/>
                                              <w:marTop w:val="0"/>
                                              <w:marBottom w:val="0"/>
                                              <w:divBdr>
                                                <w:top w:val="none" w:sz="0" w:space="0" w:color="auto"/>
                                                <w:left w:val="none" w:sz="0" w:space="0" w:color="auto"/>
                                                <w:bottom w:val="none" w:sz="0" w:space="0" w:color="auto"/>
                                                <w:right w:val="none" w:sz="0" w:space="0" w:color="auto"/>
                                              </w:divBdr>
                                              <w:divsChild>
                                                <w:div w:id="407919229">
                                                  <w:marLeft w:val="0"/>
                                                  <w:marRight w:val="0"/>
                                                  <w:marTop w:val="0"/>
                                                  <w:marBottom w:val="0"/>
                                                  <w:divBdr>
                                                    <w:top w:val="none" w:sz="0" w:space="0" w:color="auto"/>
                                                    <w:left w:val="none" w:sz="0" w:space="0" w:color="auto"/>
                                                    <w:bottom w:val="none" w:sz="0" w:space="0" w:color="auto"/>
                                                    <w:right w:val="none" w:sz="0" w:space="0" w:color="auto"/>
                                                  </w:divBdr>
                                                  <w:divsChild>
                                                    <w:div w:id="656760239">
                                                      <w:marLeft w:val="0"/>
                                                      <w:marRight w:val="0"/>
                                                      <w:marTop w:val="0"/>
                                                      <w:marBottom w:val="0"/>
                                                      <w:divBdr>
                                                        <w:top w:val="none" w:sz="0" w:space="0" w:color="auto"/>
                                                        <w:left w:val="none" w:sz="0" w:space="0" w:color="auto"/>
                                                        <w:bottom w:val="none" w:sz="0" w:space="0" w:color="auto"/>
                                                        <w:right w:val="none" w:sz="0" w:space="0" w:color="auto"/>
                                                      </w:divBdr>
                                                      <w:divsChild>
                                                        <w:div w:id="745958435">
                                                          <w:marLeft w:val="0"/>
                                                          <w:marRight w:val="0"/>
                                                          <w:marTop w:val="0"/>
                                                          <w:marBottom w:val="0"/>
                                                          <w:divBdr>
                                                            <w:top w:val="none" w:sz="0" w:space="0" w:color="auto"/>
                                                            <w:left w:val="none" w:sz="0" w:space="0" w:color="auto"/>
                                                            <w:bottom w:val="none" w:sz="0" w:space="0" w:color="auto"/>
                                                            <w:right w:val="none" w:sz="0" w:space="0" w:color="auto"/>
                                                          </w:divBdr>
                                                          <w:divsChild>
                                                            <w:div w:id="718476978">
                                                              <w:marLeft w:val="0"/>
                                                              <w:marRight w:val="0"/>
                                                              <w:marTop w:val="0"/>
                                                              <w:marBottom w:val="0"/>
                                                              <w:divBdr>
                                                                <w:top w:val="none" w:sz="0" w:space="0" w:color="auto"/>
                                                                <w:left w:val="none" w:sz="0" w:space="0" w:color="auto"/>
                                                                <w:bottom w:val="none" w:sz="0" w:space="0" w:color="auto"/>
                                                                <w:right w:val="none" w:sz="0" w:space="0" w:color="auto"/>
                                                              </w:divBdr>
                                                              <w:divsChild>
                                                                <w:div w:id="21274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69249567">
      <w:bodyDiv w:val="1"/>
      <w:marLeft w:val="0"/>
      <w:marRight w:val="0"/>
      <w:marTop w:val="0"/>
      <w:marBottom w:val="0"/>
      <w:divBdr>
        <w:top w:val="none" w:sz="0" w:space="0" w:color="auto"/>
        <w:left w:val="none" w:sz="0" w:space="0" w:color="auto"/>
        <w:bottom w:val="none" w:sz="0" w:space="0" w:color="auto"/>
        <w:right w:val="none" w:sz="0" w:space="0" w:color="auto"/>
      </w:divBdr>
    </w:div>
    <w:div w:id="1230191420">
      <w:bodyDiv w:val="1"/>
      <w:marLeft w:val="0"/>
      <w:marRight w:val="0"/>
      <w:marTop w:val="0"/>
      <w:marBottom w:val="0"/>
      <w:divBdr>
        <w:top w:val="none" w:sz="0" w:space="0" w:color="auto"/>
        <w:left w:val="none" w:sz="0" w:space="0" w:color="auto"/>
        <w:bottom w:val="none" w:sz="0" w:space="0" w:color="auto"/>
        <w:right w:val="none" w:sz="0" w:space="0" w:color="auto"/>
      </w:divBdr>
    </w:div>
    <w:div w:id="1231037722">
      <w:bodyDiv w:val="1"/>
      <w:marLeft w:val="0"/>
      <w:marRight w:val="0"/>
      <w:marTop w:val="0"/>
      <w:marBottom w:val="0"/>
      <w:divBdr>
        <w:top w:val="none" w:sz="0" w:space="0" w:color="auto"/>
        <w:left w:val="none" w:sz="0" w:space="0" w:color="auto"/>
        <w:bottom w:val="none" w:sz="0" w:space="0" w:color="auto"/>
        <w:right w:val="none" w:sz="0" w:space="0" w:color="auto"/>
      </w:divBdr>
    </w:div>
    <w:div w:id="1268392229">
      <w:bodyDiv w:val="1"/>
      <w:marLeft w:val="0"/>
      <w:marRight w:val="0"/>
      <w:marTop w:val="0"/>
      <w:marBottom w:val="0"/>
      <w:divBdr>
        <w:top w:val="none" w:sz="0" w:space="0" w:color="auto"/>
        <w:left w:val="none" w:sz="0" w:space="0" w:color="auto"/>
        <w:bottom w:val="none" w:sz="0" w:space="0" w:color="auto"/>
        <w:right w:val="none" w:sz="0" w:space="0" w:color="auto"/>
      </w:divBdr>
      <w:divsChild>
        <w:div w:id="725106824">
          <w:marLeft w:val="0"/>
          <w:marRight w:val="0"/>
          <w:marTop w:val="300"/>
          <w:marBottom w:val="100"/>
          <w:divBdr>
            <w:top w:val="none" w:sz="0" w:space="0" w:color="auto"/>
            <w:left w:val="none" w:sz="0" w:space="0" w:color="auto"/>
            <w:bottom w:val="none" w:sz="0" w:space="0" w:color="auto"/>
            <w:right w:val="none" w:sz="0" w:space="0" w:color="auto"/>
          </w:divBdr>
          <w:divsChild>
            <w:div w:id="1682390658">
              <w:marLeft w:val="0"/>
              <w:marRight w:val="0"/>
              <w:marTop w:val="0"/>
              <w:marBottom w:val="0"/>
              <w:divBdr>
                <w:top w:val="none" w:sz="0" w:space="0" w:color="auto"/>
                <w:left w:val="none" w:sz="0" w:space="0" w:color="auto"/>
                <w:bottom w:val="none" w:sz="0" w:space="0" w:color="auto"/>
                <w:right w:val="none" w:sz="0" w:space="0" w:color="auto"/>
              </w:divBdr>
              <w:divsChild>
                <w:div w:id="1577395051">
                  <w:marLeft w:val="22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304196703">
      <w:bodyDiv w:val="1"/>
      <w:marLeft w:val="0"/>
      <w:marRight w:val="0"/>
      <w:marTop w:val="0"/>
      <w:marBottom w:val="0"/>
      <w:divBdr>
        <w:top w:val="none" w:sz="0" w:space="0" w:color="auto"/>
        <w:left w:val="none" w:sz="0" w:space="0" w:color="auto"/>
        <w:bottom w:val="none" w:sz="0" w:space="0" w:color="auto"/>
        <w:right w:val="none" w:sz="0" w:space="0" w:color="auto"/>
      </w:divBdr>
      <w:divsChild>
        <w:div w:id="74594216">
          <w:marLeft w:val="0"/>
          <w:marRight w:val="0"/>
          <w:marTop w:val="0"/>
          <w:marBottom w:val="0"/>
          <w:divBdr>
            <w:top w:val="none" w:sz="0" w:space="0" w:color="auto"/>
            <w:left w:val="none" w:sz="0" w:space="0" w:color="auto"/>
            <w:bottom w:val="none" w:sz="0" w:space="0" w:color="auto"/>
            <w:right w:val="none" w:sz="0" w:space="0" w:color="auto"/>
          </w:divBdr>
        </w:div>
      </w:divsChild>
    </w:div>
    <w:div w:id="1331635585">
      <w:bodyDiv w:val="1"/>
      <w:marLeft w:val="0"/>
      <w:marRight w:val="0"/>
      <w:marTop w:val="0"/>
      <w:marBottom w:val="0"/>
      <w:divBdr>
        <w:top w:val="none" w:sz="0" w:space="0" w:color="auto"/>
        <w:left w:val="none" w:sz="0" w:space="0" w:color="auto"/>
        <w:bottom w:val="none" w:sz="0" w:space="0" w:color="auto"/>
        <w:right w:val="none" w:sz="0" w:space="0" w:color="auto"/>
      </w:divBdr>
    </w:div>
    <w:div w:id="1379744627">
      <w:bodyDiv w:val="1"/>
      <w:marLeft w:val="0"/>
      <w:marRight w:val="0"/>
      <w:marTop w:val="0"/>
      <w:marBottom w:val="0"/>
      <w:divBdr>
        <w:top w:val="none" w:sz="0" w:space="0" w:color="auto"/>
        <w:left w:val="none" w:sz="0" w:space="0" w:color="auto"/>
        <w:bottom w:val="none" w:sz="0" w:space="0" w:color="auto"/>
        <w:right w:val="none" w:sz="0" w:space="0" w:color="auto"/>
      </w:divBdr>
      <w:divsChild>
        <w:div w:id="320433132">
          <w:marLeft w:val="0"/>
          <w:marRight w:val="0"/>
          <w:marTop w:val="0"/>
          <w:marBottom w:val="0"/>
          <w:divBdr>
            <w:top w:val="none" w:sz="0" w:space="0" w:color="auto"/>
            <w:left w:val="none" w:sz="0" w:space="0" w:color="auto"/>
            <w:bottom w:val="none" w:sz="0" w:space="0" w:color="auto"/>
            <w:right w:val="none" w:sz="0" w:space="0" w:color="auto"/>
          </w:divBdr>
        </w:div>
      </w:divsChild>
    </w:div>
    <w:div w:id="1390882334">
      <w:bodyDiv w:val="1"/>
      <w:marLeft w:val="0"/>
      <w:marRight w:val="0"/>
      <w:marTop w:val="0"/>
      <w:marBottom w:val="0"/>
      <w:divBdr>
        <w:top w:val="none" w:sz="0" w:space="0" w:color="auto"/>
        <w:left w:val="none" w:sz="0" w:space="0" w:color="auto"/>
        <w:bottom w:val="none" w:sz="0" w:space="0" w:color="auto"/>
        <w:right w:val="none" w:sz="0" w:space="0" w:color="auto"/>
      </w:divBdr>
    </w:div>
    <w:div w:id="1487749017">
      <w:bodyDiv w:val="1"/>
      <w:marLeft w:val="0"/>
      <w:marRight w:val="0"/>
      <w:marTop w:val="0"/>
      <w:marBottom w:val="0"/>
      <w:divBdr>
        <w:top w:val="none" w:sz="0" w:space="0" w:color="auto"/>
        <w:left w:val="none" w:sz="0" w:space="0" w:color="auto"/>
        <w:bottom w:val="none" w:sz="0" w:space="0" w:color="auto"/>
        <w:right w:val="none" w:sz="0" w:space="0" w:color="auto"/>
      </w:divBdr>
    </w:div>
    <w:div w:id="1511025913">
      <w:bodyDiv w:val="1"/>
      <w:marLeft w:val="0"/>
      <w:marRight w:val="0"/>
      <w:marTop w:val="0"/>
      <w:marBottom w:val="0"/>
      <w:divBdr>
        <w:top w:val="none" w:sz="0" w:space="0" w:color="auto"/>
        <w:left w:val="none" w:sz="0" w:space="0" w:color="auto"/>
        <w:bottom w:val="none" w:sz="0" w:space="0" w:color="auto"/>
        <w:right w:val="none" w:sz="0" w:space="0" w:color="auto"/>
      </w:divBdr>
    </w:div>
    <w:div w:id="1569802458">
      <w:bodyDiv w:val="1"/>
      <w:marLeft w:val="0"/>
      <w:marRight w:val="0"/>
      <w:marTop w:val="0"/>
      <w:marBottom w:val="0"/>
      <w:divBdr>
        <w:top w:val="none" w:sz="0" w:space="0" w:color="auto"/>
        <w:left w:val="none" w:sz="0" w:space="0" w:color="auto"/>
        <w:bottom w:val="none" w:sz="0" w:space="0" w:color="auto"/>
        <w:right w:val="none" w:sz="0" w:space="0" w:color="auto"/>
      </w:divBdr>
    </w:div>
    <w:div w:id="1587961664">
      <w:bodyDiv w:val="1"/>
      <w:marLeft w:val="0"/>
      <w:marRight w:val="0"/>
      <w:marTop w:val="0"/>
      <w:marBottom w:val="0"/>
      <w:divBdr>
        <w:top w:val="none" w:sz="0" w:space="0" w:color="auto"/>
        <w:left w:val="none" w:sz="0" w:space="0" w:color="auto"/>
        <w:bottom w:val="none" w:sz="0" w:space="0" w:color="auto"/>
        <w:right w:val="none" w:sz="0" w:space="0" w:color="auto"/>
      </w:divBdr>
    </w:div>
    <w:div w:id="1596211642">
      <w:bodyDiv w:val="1"/>
      <w:marLeft w:val="0"/>
      <w:marRight w:val="0"/>
      <w:marTop w:val="0"/>
      <w:marBottom w:val="0"/>
      <w:divBdr>
        <w:top w:val="none" w:sz="0" w:space="0" w:color="auto"/>
        <w:left w:val="none" w:sz="0" w:space="0" w:color="auto"/>
        <w:bottom w:val="none" w:sz="0" w:space="0" w:color="auto"/>
        <w:right w:val="none" w:sz="0" w:space="0" w:color="auto"/>
      </w:divBdr>
    </w:div>
    <w:div w:id="1596590218">
      <w:bodyDiv w:val="1"/>
      <w:marLeft w:val="0"/>
      <w:marRight w:val="0"/>
      <w:marTop w:val="0"/>
      <w:marBottom w:val="0"/>
      <w:divBdr>
        <w:top w:val="none" w:sz="0" w:space="0" w:color="auto"/>
        <w:left w:val="none" w:sz="0" w:space="0" w:color="auto"/>
        <w:bottom w:val="none" w:sz="0" w:space="0" w:color="auto"/>
        <w:right w:val="none" w:sz="0" w:space="0" w:color="auto"/>
      </w:divBdr>
    </w:div>
    <w:div w:id="1642999653">
      <w:bodyDiv w:val="1"/>
      <w:marLeft w:val="0"/>
      <w:marRight w:val="0"/>
      <w:marTop w:val="0"/>
      <w:marBottom w:val="0"/>
      <w:divBdr>
        <w:top w:val="none" w:sz="0" w:space="0" w:color="auto"/>
        <w:left w:val="none" w:sz="0" w:space="0" w:color="auto"/>
        <w:bottom w:val="none" w:sz="0" w:space="0" w:color="auto"/>
        <w:right w:val="none" w:sz="0" w:space="0" w:color="auto"/>
      </w:divBdr>
    </w:div>
    <w:div w:id="1644962495">
      <w:bodyDiv w:val="1"/>
      <w:marLeft w:val="0"/>
      <w:marRight w:val="0"/>
      <w:marTop w:val="0"/>
      <w:marBottom w:val="0"/>
      <w:divBdr>
        <w:top w:val="none" w:sz="0" w:space="0" w:color="auto"/>
        <w:left w:val="none" w:sz="0" w:space="0" w:color="auto"/>
        <w:bottom w:val="none" w:sz="0" w:space="0" w:color="auto"/>
        <w:right w:val="none" w:sz="0" w:space="0" w:color="auto"/>
      </w:divBdr>
      <w:divsChild>
        <w:div w:id="1362628776">
          <w:marLeft w:val="547"/>
          <w:marRight w:val="0"/>
          <w:marTop w:val="200"/>
          <w:marBottom w:val="0"/>
          <w:divBdr>
            <w:top w:val="none" w:sz="0" w:space="0" w:color="auto"/>
            <w:left w:val="none" w:sz="0" w:space="0" w:color="auto"/>
            <w:bottom w:val="none" w:sz="0" w:space="0" w:color="auto"/>
            <w:right w:val="none" w:sz="0" w:space="0" w:color="auto"/>
          </w:divBdr>
        </w:div>
        <w:div w:id="11880839">
          <w:marLeft w:val="547"/>
          <w:marRight w:val="0"/>
          <w:marTop w:val="200"/>
          <w:marBottom w:val="0"/>
          <w:divBdr>
            <w:top w:val="none" w:sz="0" w:space="0" w:color="auto"/>
            <w:left w:val="none" w:sz="0" w:space="0" w:color="auto"/>
            <w:bottom w:val="none" w:sz="0" w:space="0" w:color="auto"/>
            <w:right w:val="none" w:sz="0" w:space="0" w:color="auto"/>
          </w:divBdr>
        </w:div>
        <w:div w:id="944846142">
          <w:marLeft w:val="547"/>
          <w:marRight w:val="0"/>
          <w:marTop w:val="200"/>
          <w:marBottom w:val="0"/>
          <w:divBdr>
            <w:top w:val="none" w:sz="0" w:space="0" w:color="auto"/>
            <w:left w:val="none" w:sz="0" w:space="0" w:color="auto"/>
            <w:bottom w:val="none" w:sz="0" w:space="0" w:color="auto"/>
            <w:right w:val="none" w:sz="0" w:space="0" w:color="auto"/>
          </w:divBdr>
        </w:div>
        <w:div w:id="1282684975">
          <w:marLeft w:val="547"/>
          <w:marRight w:val="0"/>
          <w:marTop w:val="200"/>
          <w:marBottom w:val="0"/>
          <w:divBdr>
            <w:top w:val="none" w:sz="0" w:space="0" w:color="auto"/>
            <w:left w:val="none" w:sz="0" w:space="0" w:color="auto"/>
            <w:bottom w:val="none" w:sz="0" w:space="0" w:color="auto"/>
            <w:right w:val="none" w:sz="0" w:space="0" w:color="auto"/>
          </w:divBdr>
        </w:div>
        <w:div w:id="1099106584">
          <w:marLeft w:val="547"/>
          <w:marRight w:val="0"/>
          <w:marTop w:val="200"/>
          <w:marBottom w:val="0"/>
          <w:divBdr>
            <w:top w:val="none" w:sz="0" w:space="0" w:color="auto"/>
            <w:left w:val="none" w:sz="0" w:space="0" w:color="auto"/>
            <w:bottom w:val="none" w:sz="0" w:space="0" w:color="auto"/>
            <w:right w:val="none" w:sz="0" w:space="0" w:color="auto"/>
          </w:divBdr>
        </w:div>
      </w:divsChild>
    </w:div>
    <w:div w:id="1701078911">
      <w:bodyDiv w:val="1"/>
      <w:marLeft w:val="0"/>
      <w:marRight w:val="0"/>
      <w:marTop w:val="0"/>
      <w:marBottom w:val="0"/>
      <w:divBdr>
        <w:top w:val="none" w:sz="0" w:space="0" w:color="auto"/>
        <w:left w:val="none" w:sz="0" w:space="0" w:color="auto"/>
        <w:bottom w:val="none" w:sz="0" w:space="0" w:color="auto"/>
        <w:right w:val="none" w:sz="0" w:space="0" w:color="auto"/>
      </w:divBdr>
      <w:divsChild>
        <w:div w:id="1831747166">
          <w:marLeft w:val="547"/>
          <w:marRight w:val="0"/>
          <w:marTop w:val="200"/>
          <w:marBottom w:val="0"/>
          <w:divBdr>
            <w:top w:val="none" w:sz="0" w:space="0" w:color="auto"/>
            <w:left w:val="none" w:sz="0" w:space="0" w:color="auto"/>
            <w:bottom w:val="none" w:sz="0" w:space="0" w:color="auto"/>
            <w:right w:val="none" w:sz="0" w:space="0" w:color="auto"/>
          </w:divBdr>
        </w:div>
        <w:div w:id="1013144224">
          <w:marLeft w:val="547"/>
          <w:marRight w:val="0"/>
          <w:marTop w:val="200"/>
          <w:marBottom w:val="0"/>
          <w:divBdr>
            <w:top w:val="none" w:sz="0" w:space="0" w:color="auto"/>
            <w:left w:val="none" w:sz="0" w:space="0" w:color="auto"/>
            <w:bottom w:val="none" w:sz="0" w:space="0" w:color="auto"/>
            <w:right w:val="none" w:sz="0" w:space="0" w:color="auto"/>
          </w:divBdr>
        </w:div>
        <w:div w:id="299459023">
          <w:marLeft w:val="547"/>
          <w:marRight w:val="0"/>
          <w:marTop w:val="200"/>
          <w:marBottom w:val="0"/>
          <w:divBdr>
            <w:top w:val="none" w:sz="0" w:space="0" w:color="auto"/>
            <w:left w:val="none" w:sz="0" w:space="0" w:color="auto"/>
            <w:bottom w:val="none" w:sz="0" w:space="0" w:color="auto"/>
            <w:right w:val="none" w:sz="0" w:space="0" w:color="auto"/>
          </w:divBdr>
        </w:div>
        <w:div w:id="618684625">
          <w:marLeft w:val="547"/>
          <w:marRight w:val="0"/>
          <w:marTop w:val="200"/>
          <w:marBottom w:val="0"/>
          <w:divBdr>
            <w:top w:val="none" w:sz="0" w:space="0" w:color="auto"/>
            <w:left w:val="none" w:sz="0" w:space="0" w:color="auto"/>
            <w:bottom w:val="none" w:sz="0" w:space="0" w:color="auto"/>
            <w:right w:val="none" w:sz="0" w:space="0" w:color="auto"/>
          </w:divBdr>
        </w:div>
      </w:divsChild>
    </w:div>
    <w:div w:id="1704549989">
      <w:bodyDiv w:val="1"/>
      <w:marLeft w:val="0"/>
      <w:marRight w:val="0"/>
      <w:marTop w:val="0"/>
      <w:marBottom w:val="0"/>
      <w:divBdr>
        <w:top w:val="none" w:sz="0" w:space="0" w:color="auto"/>
        <w:left w:val="none" w:sz="0" w:space="0" w:color="auto"/>
        <w:bottom w:val="none" w:sz="0" w:space="0" w:color="auto"/>
        <w:right w:val="none" w:sz="0" w:space="0" w:color="auto"/>
      </w:divBdr>
    </w:div>
    <w:div w:id="1712531232">
      <w:bodyDiv w:val="1"/>
      <w:marLeft w:val="0"/>
      <w:marRight w:val="0"/>
      <w:marTop w:val="0"/>
      <w:marBottom w:val="0"/>
      <w:divBdr>
        <w:top w:val="none" w:sz="0" w:space="0" w:color="auto"/>
        <w:left w:val="none" w:sz="0" w:space="0" w:color="auto"/>
        <w:bottom w:val="none" w:sz="0" w:space="0" w:color="auto"/>
        <w:right w:val="none" w:sz="0" w:space="0" w:color="auto"/>
      </w:divBdr>
    </w:div>
    <w:div w:id="1732194533">
      <w:bodyDiv w:val="1"/>
      <w:marLeft w:val="0"/>
      <w:marRight w:val="0"/>
      <w:marTop w:val="0"/>
      <w:marBottom w:val="0"/>
      <w:divBdr>
        <w:top w:val="none" w:sz="0" w:space="0" w:color="auto"/>
        <w:left w:val="none" w:sz="0" w:space="0" w:color="auto"/>
        <w:bottom w:val="none" w:sz="0" w:space="0" w:color="auto"/>
        <w:right w:val="none" w:sz="0" w:space="0" w:color="auto"/>
      </w:divBdr>
    </w:div>
    <w:div w:id="1767195248">
      <w:bodyDiv w:val="1"/>
      <w:marLeft w:val="0"/>
      <w:marRight w:val="0"/>
      <w:marTop w:val="0"/>
      <w:marBottom w:val="0"/>
      <w:divBdr>
        <w:top w:val="none" w:sz="0" w:space="0" w:color="auto"/>
        <w:left w:val="none" w:sz="0" w:space="0" w:color="auto"/>
        <w:bottom w:val="none" w:sz="0" w:space="0" w:color="auto"/>
        <w:right w:val="none" w:sz="0" w:space="0" w:color="auto"/>
      </w:divBdr>
      <w:divsChild>
        <w:div w:id="1465998882">
          <w:marLeft w:val="0"/>
          <w:marRight w:val="0"/>
          <w:marTop w:val="0"/>
          <w:marBottom w:val="160"/>
          <w:divBdr>
            <w:top w:val="none" w:sz="0" w:space="0" w:color="auto"/>
            <w:left w:val="none" w:sz="0" w:space="0" w:color="auto"/>
            <w:bottom w:val="none" w:sz="0" w:space="0" w:color="auto"/>
            <w:right w:val="none" w:sz="0" w:space="0" w:color="auto"/>
          </w:divBdr>
        </w:div>
      </w:divsChild>
    </w:div>
    <w:div w:id="1797095005">
      <w:bodyDiv w:val="1"/>
      <w:marLeft w:val="0"/>
      <w:marRight w:val="0"/>
      <w:marTop w:val="0"/>
      <w:marBottom w:val="0"/>
      <w:divBdr>
        <w:top w:val="none" w:sz="0" w:space="0" w:color="auto"/>
        <w:left w:val="none" w:sz="0" w:space="0" w:color="auto"/>
        <w:bottom w:val="none" w:sz="0" w:space="0" w:color="auto"/>
        <w:right w:val="none" w:sz="0" w:space="0" w:color="auto"/>
      </w:divBdr>
    </w:div>
    <w:div w:id="1833838128">
      <w:bodyDiv w:val="1"/>
      <w:marLeft w:val="0"/>
      <w:marRight w:val="0"/>
      <w:marTop w:val="0"/>
      <w:marBottom w:val="0"/>
      <w:divBdr>
        <w:top w:val="none" w:sz="0" w:space="0" w:color="auto"/>
        <w:left w:val="none" w:sz="0" w:space="0" w:color="auto"/>
        <w:bottom w:val="none" w:sz="0" w:space="0" w:color="auto"/>
        <w:right w:val="none" w:sz="0" w:space="0" w:color="auto"/>
      </w:divBdr>
    </w:div>
    <w:div w:id="1851875224">
      <w:bodyDiv w:val="1"/>
      <w:marLeft w:val="0"/>
      <w:marRight w:val="0"/>
      <w:marTop w:val="0"/>
      <w:marBottom w:val="0"/>
      <w:divBdr>
        <w:top w:val="none" w:sz="0" w:space="0" w:color="auto"/>
        <w:left w:val="none" w:sz="0" w:space="0" w:color="auto"/>
        <w:bottom w:val="none" w:sz="0" w:space="0" w:color="auto"/>
        <w:right w:val="none" w:sz="0" w:space="0" w:color="auto"/>
      </w:divBdr>
    </w:div>
    <w:div w:id="1912697152">
      <w:bodyDiv w:val="1"/>
      <w:marLeft w:val="0"/>
      <w:marRight w:val="0"/>
      <w:marTop w:val="0"/>
      <w:marBottom w:val="0"/>
      <w:divBdr>
        <w:top w:val="none" w:sz="0" w:space="0" w:color="auto"/>
        <w:left w:val="none" w:sz="0" w:space="0" w:color="auto"/>
        <w:bottom w:val="none" w:sz="0" w:space="0" w:color="auto"/>
        <w:right w:val="none" w:sz="0" w:space="0" w:color="auto"/>
      </w:divBdr>
    </w:div>
    <w:div w:id="1953825210">
      <w:bodyDiv w:val="1"/>
      <w:marLeft w:val="0"/>
      <w:marRight w:val="0"/>
      <w:marTop w:val="0"/>
      <w:marBottom w:val="0"/>
      <w:divBdr>
        <w:top w:val="none" w:sz="0" w:space="0" w:color="auto"/>
        <w:left w:val="none" w:sz="0" w:space="0" w:color="auto"/>
        <w:bottom w:val="none" w:sz="0" w:space="0" w:color="auto"/>
        <w:right w:val="none" w:sz="0" w:space="0" w:color="auto"/>
      </w:divBdr>
    </w:div>
    <w:div w:id="1983341463">
      <w:bodyDiv w:val="1"/>
      <w:marLeft w:val="0"/>
      <w:marRight w:val="0"/>
      <w:marTop w:val="0"/>
      <w:marBottom w:val="0"/>
      <w:divBdr>
        <w:top w:val="none" w:sz="0" w:space="0" w:color="auto"/>
        <w:left w:val="none" w:sz="0" w:space="0" w:color="auto"/>
        <w:bottom w:val="none" w:sz="0" w:space="0" w:color="auto"/>
        <w:right w:val="none" w:sz="0" w:space="0" w:color="auto"/>
      </w:divBdr>
    </w:div>
    <w:div w:id="1992902685">
      <w:bodyDiv w:val="1"/>
      <w:marLeft w:val="0"/>
      <w:marRight w:val="0"/>
      <w:marTop w:val="0"/>
      <w:marBottom w:val="0"/>
      <w:divBdr>
        <w:top w:val="none" w:sz="0" w:space="0" w:color="auto"/>
        <w:left w:val="none" w:sz="0" w:space="0" w:color="auto"/>
        <w:bottom w:val="none" w:sz="0" w:space="0" w:color="auto"/>
        <w:right w:val="none" w:sz="0" w:space="0" w:color="auto"/>
      </w:divBdr>
    </w:div>
    <w:div w:id="2037535191">
      <w:bodyDiv w:val="1"/>
      <w:marLeft w:val="0"/>
      <w:marRight w:val="0"/>
      <w:marTop w:val="0"/>
      <w:marBottom w:val="0"/>
      <w:divBdr>
        <w:top w:val="none" w:sz="0" w:space="0" w:color="auto"/>
        <w:left w:val="none" w:sz="0" w:space="0" w:color="auto"/>
        <w:bottom w:val="none" w:sz="0" w:space="0" w:color="auto"/>
        <w:right w:val="none" w:sz="0" w:space="0" w:color="auto"/>
      </w:divBdr>
    </w:div>
    <w:div w:id="2073428155">
      <w:bodyDiv w:val="1"/>
      <w:marLeft w:val="0"/>
      <w:marRight w:val="0"/>
      <w:marTop w:val="0"/>
      <w:marBottom w:val="0"/>
      <w:divBdr>
        <w:top w:val="none" w:sz="0" w:space="0" w:color="auto"/>
        <w:left w:val="none" w:sz="0" w:space="0" w:color="auto"/>
        <w:bottom w:val="none" w:sz="0" w:space="0" w:color="auto"/>
        <w:right w:val="none" w:sz="0" w:space="0" w:color="auto"/>
      </w:divBdr>
    </w:div>
    <w:div w:id="2078160427">
      <w:bodyDiv w:val="1"/>
      <w:marLeft w:val="0"/>
      <w:marRight w:val="0"/>
      <w:marTop w:val="0"/>
      <w:marBottom w:val="0"/>
      <w:divBdr>
        <w:top w:val="none" w:sz="0" w:space="0" w:color="auto"/>
        <w:left w:val="none" w:sz="0" w:space="0" w:color="auto"/>
        <w:bottom w:val="none" w:sz="0" w:space="0" w:color="auto"/>
        <w:right w:val="none" w:sz="0" w:space="0" w:color="auto"/>
      </w:divBdr>
    </w:div>
    <w:div w:id="209323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4.xml"/><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image" Target="media/image9.pn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chart" Target="charts/chart5.xm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theme" Target="theme/theme1.xml"/></Relationships>
</file>

<file path=word/_rels/endnotes.xml.rels><?xml version="1.0" encoding="UTF-8" standalone="yes"?>
<Relationships xmlns="http://schemas.openxmlformats.org/package/2006/relationships"><Relationship Id="rId13" Type="http://schemas.openxmlformats.org/officeDocument/2006/relationships/hyperlink" Target="https://data.warwickshire.gov.uk/housing/reports/" TargetMode="External"/><Relationship Id="rId18" Type="http://schemas.openxmlformats.org/officeDocument/2006/relationships/hyperlink" Target="https://www.stratford.gov.uk/doc/210823/name/AMR%202020%2021%20FINAL.pdf" TargetMode="External"/><Relationship Id="rId26" Type="http://schemas.openxmlformats.org/officeDocument/2006/relationships/hyperlink" Target="https://www.nomisweb.co.uk/reports/lmp/la/1946157184/report.aspx?town=stratford-on-avon" TargetMode="External"/><Relationship Id="rId21" Type="http://schemas.openxmlformats.org/officeDocument/2006/relationships/hyperlink" Target="https://data.warwickshire.gov.uk/crime-and-community-safety/reports/" TargetMode="External"/><Relationship Id="rId34" Type="http://schemas.openxmlformats.org/officeDocument/2006/relationships/hyperlink" Target="https://lginform.local.gov.uk/reports/view/lga-research/lga-research-report-an-overview-of-health-and-wellbeing-in-your-area-1?mod-area=E07000221&amp;mod-group=AllDistrictInRegion_WestMidlands&amp;mod-type=namedComparisonGroup" TargetMode="External"/><Relationship Id="rId7" Type="http://schemas.openxmlformats.org/officeDocument/2006/relationships/hyperlink" Target="https://data.warwickshire.gov.uk/housing/reports/" TargetMode="External"/><Relationship Id="rId12" Type="http://schemas.openxmlformats.org/officeDocument/2006/relationships/hyperlink" Target="https://data.warwickshire.gov.uk/housing/reports/" TargetMode="External"/><Relationship Id="rId17" Type="http://schemas.openxmlformats.org/officeDocument/2006/relationships/hyperlink" Target="https://www.stratford.gov.uk/doc/210823/name/AMR%202020%2021%20FINAL.pdf" TargetMode="External"/><Relationship Id="rId25" Type="http://schemas.openxmlformats.org/officeDocument/2006/relationships/hyperlink" Target="https://www.nomisweb.co.uk/reports/lmp/la/1946157184/report.aspx?town=stratford-on-avon" TargetMode="External"/><Relationship Id="rId33" Type="http://schemas.openxmlformats.org/officeDocument/2006/relationships/hyperlink" Target="https://lginform.local.gov.uk/reports/view/lga-research/lga-research-report-an-overview-of-health-and-wellbeing-in-your-area-1?mod-area=E07000221&amp;mod-group=AllDistrictInRegion_WestMidlands&amp;mod-type=namedComparisonGroup" TargetMode="External"/><Relationship Id="rId38" Type="http://schemas.openxmlformats.org/officeDocument/2006/relationships/hyperlink" Target="https://assets.publishing.service.gov.uk/government/uploads/system/uploads/attachment_data/file/1056842/fuel-poverty-factsheet-2020.pdf" TargetMode="External"/><Relationship Id="rId2" Type="http://schemas.openxmlformats.org/officeDocument/2006/relationships/hyperlink" Target="https://www.ons.gov.uk/visualisations/censuspopulationchange/E07000221/" TargetMode="External"/><Relationship Id="rId16" Type="http://schemas.openxmlformats.org/officeDocument/2006/relationships/hyperlink" Target="https://www.stratford.gov.uk/doc/210823/name/AMR%202020%2021%20FINAL.pdf" TargetMode="External"/><Relationship Id="rId20" Type="http://schemas.openxmlformats.org/officeDocument/2006/relationships/hyperlink" Target="https://data.warwickshire.gov.uk/crime-and-community-safety/reports/" TargetMode="External"/><Relationship Id="rId29" Type="http://schemas.openxmlformats.org/officeDocument/2006/relationships/hyperlink" Target="https://www.nomisweb.co.uk/reports/lmp/la/1946157184/report.aspx?town=stratford-on-avon" TargetMode="External"/><Relationship Id="rId1" Type="http://schemas.openxmlformats.org/officeDocument/2006/relationships/hyperlink" Target="https://www.ons.gov.uk/peoplepopulationandcommunity/populationandmigration/populationestimates/datasets/populationandhouseholdestimatesenglandandwalescensus2021" TargetMode="External"/><Relationship Id="rId6" Type="http://schemas.openxmlformats.org/officeDocument/2006/relationships/hyperlink" Target="https://data.warwickshire.gov.uk/housing/reports/" TargetMode="External"/><Relationship Id="rId11" Type="http://schemas.openxmlformats.org/officeDocument/2006/relationships/hyperlink" Target="https://www.ons.gov.uk/peoplepopulationandcommunity/housing/datasets/privaterentalmarketsummarystatisticsinengland" TargetMode="External"/><Relationship Id="rId24" Type="http://schemas.openxmlformats.org/officeDocument/2006/relationships/hyperlink" Target="https://www.nomisweb.co.uk/reports/lmp/la/1946157184/report.aspx?town=stratford-on-avon" TargetMode="External"/><Relationship Id="rId32" Type="http://schemas.openxmlformats.org/officeDocument/2006/relationships/hyperlink" Target="https://www.nomisweb.co.uk/reports/lmp/la/1946157184/report.aspx?town=stratford-on-avon" TargetMode="External"/><Relationship Id="rId37" Type="http://schemas.openxmlformats.org/officeDocument/2006/relationships/hyperlink" Target="https://assets.publishing.service.gov.uk/government/uploads/system/uploads/attachment_data/file/1056842/fuel-poverty-factsheet-2020.pdf" TargetMode="External"/><Relationship Id="rId5" Type="http://schemas.openxmlformats.org/officeDocument/2006/relationships/hyperlink" Target="https://www.ons.gov.uk/peoplepopulationandcommunity/populationandmigration/populationestimates/datasets/wardlevelmidyearpopulationestimatesexperimental" TargetMode="External"/><Relationship Id="rId15" Type="http://schemas.openxmlformats.org/officeDocument/2006/relationships/hyperlink" Target="https://data.warwickshire.gov.uk/housing/reports/" TargetMode="External"/><Relationship Id="rId23" Type="http://schemas.openxmlformats.org/officeDocument/2006/relationships/hyperlink" Target="https://www.nomisweb.co.uk/reports/lmp/la/1946157184/report.aspx?town=stratford-on-avon" TargetMode="External"/><Relationship Id="rId28" Type="http://schemas.openxmlformats.org/officeDocument/2006/relationships/hyperlink" Target="https://www.ons.gov.uk/economy/grossvalueaddedgva/datasets/nominalandrealregionalgrossvalueaddedbalancedbyindustry" TargetMode="External"/><Relationship Id="rId36" Type="http://schemas.openxmlformats.org/officeDocument/2006/relationships/hyperlink" Target="https://data.warwickshire.gov.uk/health-and-social-care/reports/?report=1c9833af7b154056b515fb37116bc471&amp;feature=E05007474" TargetMode="External"/><Relationship Id="rId10" Type="http://schemas.openxmlformats.org/officeDocument/2006/relationships/hyperlink" Target="https://data.warwickshire.gov.uk/housing/reports/" TargetMode="External"/><Relationship Id="rId19" Type="http://schemas.openxmlformats.org/officeDocument/2006/relationships/hyperlink" Target="https://www.stratford.gov.uk/doc/210823/name/AMR%202020%2021%20FINAL.pdf" TargetMode="External"/><Relationship Id="rId31" Type="http://schemas.openxmlformats.org/officeDocument/2006/relationships/hyperlink" Target="https://data.warwickshire.gov.uk/economy-and-employment/reports/" TargetMode="External"/><Relationship Id="rId4" Type="http://schemas.openxmlformats.org/officeDocument/2006/relationships/hyperlink" Target="https://data.warwickshire.gov.uk/population/reports/" TargetMode="External"/><Relationship Id="rId9" Type="http://schemas.openxmlformats.org/officeDocument/2006/relationships/hyperlink" Target="https://www.ons.gov.uk/peoplepopulationandcommunity/housing/datasets/tenthpercentilepricepaidbywardhpssadataset40" TargetMode="External"/><Relationship Id="rId14" Type="http://schemas.openxmlformats.org/officeDocument/2006/relationships/hyperlink" Target="https://data.warwickshire.gov.uk/housing/reports/" TargetMode="External"/><Relationship Id="rId22" Type="http://schemas.openxmlformats.org/officeDocument/2006/relationships/hyperlink" Target="https://www.nomisweb.co.uk/reports/lmp/la/1946157184/report.aspx?town=stratford-on-avon" TargetMode="External"/><Relationship Id="rId27" Type="http://schemas.openxmlformats.org/officeDocument/2006/relationships/hyperlink" Target="https://www.nomisweb.co.uk/reports/lmp/la/1946157184/report.aspx?town=stratford-on-avon" TargetMode="External"/><Relationship Id="rId30" Type="http://schemas.openxmlformats.org/officeDocument/2006/relationships/hyperlink" Target="https://lginform.local.gov.uk/reports/lgastandard?mod-metric=%3C5512%2F3281*10000%3ABusiness+density+%28businesses+per+10%2C000+people%3E&amp;mod-period=1&amp;mod-area=E07000221&amp;mod-group=AllDistrictInRegion_WestMidlands&amp;mod-type=namedComparisonGroup" TargetMode="External"/><Relationship Id="rId35" Type="http://schemas.openxmlformats.org/officeDocument/2006/relationships/hyperlink" Target="https://lginform.local.gov.uk/reports/view/lga-research/lga-research-report-an-overview-of-health-and-wellbeing-in-your-area-1?mod-area=E07000221&amp;mod-group=AllDistrictInRegion_WestMidlands&amp;mod-type=namedComparisonGroup" TargetMode="External"/><Relationship Id="rId8" Type="http://schemas.openxmlformats.org/officeDocument/2006/relationships/hyperlink" Target="https://www.ons.gov.uk/peoplepopulationandcommunity/housing/datasets/lowerquartilehousepricefornationalandsubnationalgeographiesquarterlyrollingyearhpssadataset15" TargetMode="External"/><Relationship Id="rId3" Type="http://schemas.openxmlformats.org/officeDocument/2006/relationships/hyperlink" Target="https://www.ons.gov.uk/visualisations/censuspopulationchange/E07000221/"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https://stratforddc.sharepoint.com/sites/DEPT_PERFORMANCE/Shared%20Documents/PERFORMANCE/Insight/State%20of%20Stratford-on-Avon%20District/StateofDistrictReportforFullCouncilAllYears/2022/Downloaded%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about:blank"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oleObject" Target="https://stratforddc.sharepoint.com/sites/DEPT_PERFORMANCE/Shared%20Documents/PERFORMANCE/Insight/State%20of%20Stratford-on-Avon%20District/StateofDistrictReportforFullCouncilAllYears/2022/Downloaded%20data.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https://stratforddc.sharepoint.com/sites/DEPT_PERFORMANCE/Shared%20Documents/PERFORMANCE/Insight/State%20of%20Stratford-on-Avon%20District/StateofDistrictReportforFullCouncilAllYears/2022/Downloaded%20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6">
                <a:lumMod val="75000"/>
              </a:schemeClr>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'Population increase'!$A$2:$A$10</c:f>
              <c:strCache>
                <c:ptCount val="9"/>
                <c:pt idx="0">
                  <c:v>2012-13</c:v>
                </c:pt>
                <c:pt idx="1">
                  <c:v>2013-14</c:v>
                </c:pt>
                <c:pt idx="2">
                  <c:v>2014-15</c:v>
                </c:pt>
                <c:pt idx="3">
                  <c:v>2015-16</c:v>
                </c:pt>
                <c:pt idx="4">
                  <c:v>2016-17</c:v>
                </c:pt>
                <c:pt idx="5">
                  <c:v>2017-18</c:v>
                </c:pt>
                <c:pt idx="6">
                  <c:v>2018-19</c:v>
                </c:pt>
                <c:pt idx="7">
                  <c:v>2019-20</c:v>
                </c:pt>
                <c:pt idx="8">
                  <c:v>2020-21</c:v>
                </c:pt>
              </c:strCache>
            </c:strRef>
          </c:cat>
          <c:val>
            <c:numRef>
              <c:f>'Population increase'!$B$2:$B$10</c:f>
              <c:numCache>
                <c:formatCode>General</c:formatCode>
                <c:ptCount val="9"/>
                <c:pt idx="0">
                  <c:v>459</c:v>
                </c:pt>
                <c:pt idx="1">
                  <c:v>526</c:v>
                </c:pt>
                <c:pt idx="2">
                  <c:v>659</c:v>
                </c:pt>
                <c:pt idx="3">
                  <c:v>907</c:v>
                </c:pt>
                <c:pt idx="4">
                  <c:v>1857</c:v>
                </c:pt>
                <c:pt idx="5">
                  <c:v>2378</c:v>
                </c:pt>
                <c:pt idx="6">
                  <c:v>2518</c:v>
                </c:pt>
                <c:pt idx="7">
                  <c:v>2304</c:v>
                </c:pt>
                <c:pt idx="8">
                  <c:v>2300</c:v>
                </c:pt>
              </c:numCache>
            </c:numRef>
          </c:val>
          <c:extLst>
            <c:ext xmlns:c16="http://schemas.microsoft.com/office/drawing/2014/chart" uri="{C3380CC4-5D6E-409C-BE32-E72D297353CC}">
              <c16:uniqueId val="{00000000-2B3B-4606-944B-349C983A5AD1}"/>
            </c:ext>
          </c:extLst>
        </c:ser>
        <c:dLbls>
          <c:showLegendKey val="0"/>
          <c:showVal val="0"/>
          <c:showCatName val="0"/>
          <c:showSerName val="0"/>
          <c:showPercent val="0"/>
          <c:showBubbleSize val="0"/>
        </c:dLbls>
        <c:gapWidth val="219"/>
        <c:overlap val="-27"/>
        <c:axId val="1421730768"/>
        <c:axId val="1421731184"/>
      </c:barChart>
      <c:catAx>
        <c:axId val="1421730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21731184"/>
        <c:crosses val="autoZero"/>
        <c:auto val="1"/>
        <c:lblAlgn val="ctr"/>
        <c:lblOffset val="100"/>
        <c:noMultiLvlLbl val="0"/>
      </c:catAx>
      <c:valAx>
        <c:axId val="14217311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21730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Pt>
            <c:idx val="32"/>
            <c:invertIfNegative val="0"/>
            <c:bubble3D val="0"/>
            <c:spPr>
              <a:solidFill>
                <a:srgbClr val="FF0000"/>
              </a:solidFill>
              <a:ln>
                <a:noFill/>
              </a:ln>
              <a:effectLst/>
            </c:spPr>
            <c:extLst>
              <c:ext xmlns:c16="http://schemas.microsoft.com/office/drawing/2014/chart" uri="{C3380CC4-5D6E-409C-BE32-E72D297353CC}">
                <c16:uniqueId val="{00000001-1929-4C71-B4AC-D90A6912694F}"/>
              </c:ext>
            </c:extLst>
          </c:dPt>
          <c:dPt>
            <c:idx val="33"/>
            <c:invertIfNegative val="0"/>
            <c:bubble3D val="0"/>
            <c:spPr>
              <a:solidFill>
                <a:srgbClr val="FF0000"/>
              </a:solidFill>
              <a:ln>
                <a:noFill/>
              </a:ln>
              <a:effectLst/>
            </c:spPr>
            <c:extLst>
              <c:ext xmlns:c16="http://schemas.microsoft.com/office/drawing/2014/chart" uri="{C3380CC4-5D6E-409C-BE32-E72D297353CC}">
                <c16:uniqueId val="{00000003-1929-4C71-B4AC-D90A6912694F}"/>
              </c:ext>
            </c:extLst>
          </c:dPt>
          <c:dPt>
            <c:idx val="34"/>
            <c:invertIfNegative val="0"/>
            <c:bubble3D val="0"/>
            <c:spPr>
              <a:solidFill>
                <a:srgbClr val="FF0000"/>
              </a:solidFill>
              <a:ln>
                <a:noFill/>
              </a:ln>
              <a:effectLst/>
            </c:spPr>
            <c:extLst>
              <c:ext xmlns:c16="http://schemas.microsoft.com/office/drawing/2014/chart" uri="{C3380CC4-5D6E-409C-BE32-E72D297353CC}">
                <c16:uniqueId val="{00000005-1929-4C71-B4AC-D90A6912694F}"/>
              </c:ext>
            </c:extLst>
          </c:dPt>
          <c:dPt>
            <c:idx val="35"/>
            <c:invertIfNegative val="0"/>
            <c:bubble3D val="0"/>
            <c:spPr>
              <a:solidFill>
                <a:srgbClr val="FF0000"/>
              </a:solidFill>
              <a:ln>
                <a:noFill/>
              </a:ln>
              <a:effectLst/>
            </c:spPr>
            <c:extLst>
              <c:ext xmlns:c16="http://schemas.microsoft.com/office/drawing/2014/chart" uri="{C3380CC4-5D6E-409C-BE32-E72D297353CC}">
                <c16:uniqueId val="{00000007-1929-4C71-B4AC-D90A6912694F}"/>
              </c:ext>
            </c:extLst>
          </c:dPt>
          <c:cat>
            <c:strRef>
              <c:f>'Ward pop change'!$K$2:$K$37</c:f>
              <c:strCache>
                <c:ptCount val="36"/>
                <c:pt idx="0">
                  <c:v>Welford-on-Avon</c:v>
                </c:pt>
                <c:pt idx="1">
                  <c:v>Wellesbourne West</c:v>
                </c:pt>
                <c:pt idx="2">
                  <c:v>Avenue</c:v>
                </c:pt>
                <c:pt idx="3">
                  <c:v>Bidford East</c:v>
                </c:pt>
                <c:pt idx="4">
                  <c:v>Quinton</c:v>
                </c:pt>
                <c:pt idx="5">
                  <c:v>Long Itchington &amp; Stockton</c:v>
                </c:pt>
                <c:pt idx="6">
                  <c:v>Shipston North</c:v>
                </c:pt>
                <c:pt idx="7">
                  <c:v>Bridgetown</c:v>
                </c:pt>
                <c:pt idx="8">
                  <c:v>Bidford West &amp; Salford</c:v>
                </c:pt>
                <c:pt idx="9">
                  <c:v>Southam South</c:v>
                </c:pt>
                <c:pt idx="10">
                  <c:v>Southam North</c:v>
                </c:pt>
                <c:pt idx="11">
                  <c:v>Bishop's Itchington</c:v>
                </c:pt>
                <c:pt idx="12">
                  <c:v>Kinwarton</c:v>
                </c:pt>
                <c:pt idx="13">
                  <c:v>Snitterfield</c:v>
                </c:pt>
                <c:pt idx="14">
                  <c:v>Clopton</c:v>
                </c:pt>
                <c:pt idx="15">
                  <c:v>Harbury</c:v>
                </c:pt>
                <c:pt idx="16">
                  <c:v>Shottery</c:v>
                </c:pt>
                <c:pt idx="17">
                  <c:v>Napton &amp; Fenny Compton</c:v>
                </c:pt>
                <c:pt idx="18">
                  <c:v>Alcester &amp; Rural</c:v>
                </c:pt>
                <c:pt idx="19">
                  <c:v>Kineton</c:v>
                </c:pt>
                <c:pt idx="20">
                  <c:v>Tanworth-in-Arden</c:v>
                </c:pt>
                <c:pt idx="21">
                  <c:v>Studley with Mappleborough Green</c:v>
                </c:pt>
                <c:pt idx="22">
                  <c:v>Wotton Wawen</c:v>
                </c:pt>
                <c:pt idx="23">
                  <c:v>Red Horse</c:v>
                </c:pt>
                <c:pt idx="24">
                  <c:v>Tiddington</c:v>
                </c:pt>
                <c:pt idx="25">
                  <c:v>Bishopton</c:v>
                </c:pt>
                <c:pt idx="26">
                  <c:v>Welcombe</c:v>
                </c:pt>
                <c:pt idx="27">
                  <c:v>Alcester Town</c:v>
                </c:pt>
                <c:pt idx="28">
                  <c:v>Hathaway</c:v>
                </c:pt>
                <c:pt idx="29">
                  <c:v>Studley with Sambourne</c:v>
                </c:pt>
                <c:pt idx="30">
                  <c:v>Brailes &amp; Compton</c:v>
                </c:pt>
                <c:pt idx="31">
                  <c:v>Ettington</c:v>
                </c:pt>
                <c:pt idx="32">
                  <c:v>Henley-in-Arden</c:v>
                </c:pt>
                <c:pt idx="33">
                  <c:v>Guildhall</c:v>
                </c:pt>
                <c:pt idx="34">
                  <c:v>Shipston South</c:v>
                </c:pt>
                <c:pt idx="35">
                  <c:v>Wellesbourne East</c:v>
                </c:pt>
              </c:strCache>
            </c:strRef>
          </c:cat>
          <c:val>
            <c:numRef>
              <c:f>'Ward pop change'!$L$2:$L$37</c:f>
              <c:numCache>
                <c:formatCode>General</c:formatCode>
                <c:ptCount val="36"/>
                <c:pt idx="0">
                  <c:v>1260</c:v>
                </c:pt>
                <c:pt idx="1">
                  <c:v>1148</c:v>
                </c:pt>
                <c:pt idx="2">
                  <c:v>891</c:v>
                </c:pt>
                <c:pt idx="3">
                  <c:v>739</c:v>
                </c:pt>
                <c:pt idx="4">
                  <c:v>682</c:v>
                </c:pt>
                <c:pt idx="5">
                  <c:v>634</c:v>
                </c:pt>
                <c:pt idx="6">
                  <c:v>628</c:v>
                </c:pt>
                <c:pt idx="7">
                  <c:v>605</c:v>
                </c:pt>
                <c:pt idx="8">
                  <c:v>527</c:v>
                </c:pt>
                <c:pt idx="9">
                  <c:v>438</c:v>
                </c:pt>
                <c:pt idx="10">
                  <c:v>360</c:v>
                </c:pt>
                <c:pt idx="11">
                  <c:v>323</c:v>
                </c:pt>
                <c:pt idx="12">
                  <c:v>286</c:v>
                </c:pt>
                <c:pt idx="13">
                  <c:v>279</c:v>
                </c:pt>
                <c:pt idx="14">
                  <c:v>252</c:v>
                </c:pt>
                <c:pt idx="15">
                  <c:v>250</c:v>
                </c:pt>
                <c:pt idx="16">
                  <c:v>234</c:v>
                </c:pt>
                <c:pt idx="17">
                  <c:v>182</c:v>
                </c:pt>
                <c:pt idx="18">
                  <c:v>147</c:v>
                </c:pt>
                <c:pt idx="19">
                  <c:v>147</c:v>
                </c:pt>
                <c:pt idx="20">
                  <c:v>140</c:v>
                </c:pt>
                <c:pt idx="21">
                  <c:v>138</c:v>
                </c:pt>
                <c:pt idx="22">
                  <c:v>100</c:v>
                </c:pt>
                <c:pt idx="23">
                  <c:v>91</c:v>
                </c:pt>
                <c:pt idx="24">
                  <c:v>83</c:v>
                </c:pt>
                <c:pt idx="25">
                  <c:v>76</c:v>
                </c:pt>
                <c:pt idx="26">
                  <c:v>72</c:v>
                </c:pt>
                <c:pt idx="27">
                  <c:v>64</c:v>
                </c:pt>
                <c:pt idx="28">
                  <c:v>49</c:v>
                </c:pt>
                <c:pt idx="29">
                  <c:v>34</c:v>
                </c:pt>
                <c:pt idx="30">
                  <c:v>32</c:v>
                </c:pt>
                <c:pt idx="31">
                  <c:v>13</c:v>
                </c:pt>
                <c:pt idx="32">
                  <c:v>-39</c:v>
                </c:pt>
                <c:pt idx="33">
                  <c:v>-68</c:v>
                </c:pt>
                <c:pt idx="34">
                  <c:v>-71</c:v>
                </c:pt>
                <c:pt idx="35">
                  <c:v>-103</c:v>
                </c:pt>
              </c:numCache>
            </c:numRef>
          </c:val>
          <c:extLst>
            <c:ext xmlns:c16="http://schemas.microsoft.com/office/drawing/2014/chart" uri="{C3380CC4-5D6E-409C-BE32-E72D297353CC}">
              <c16:uniqueId val="{00000008-1929-4C71-B4AC-D90A6912694F}"/>
            </c:ext>
          </c:extLst>
        </c:ser>
        <c:dLbls>
          <c:showLegendKey val="0"/>
          <c:showVal val="0"/>
          <c:showCatName val="0"/>
          <c:showSerName val="0"/>
          <c:showPercent val="0"/>
          <c:showBubbleSize val="0"/>
        </c:dLbls>
        <c:gapWidth val="219"/>
        <c:overlap val="-27"/>
        <c:axId val="99051392"/>
        <c:axId val="99052928"/>
      </c:barChart>
      <c:catAx>
        <c:axId val="99051392"/>
        <c:scaling>
          <c:orientation val="minMax"/>
        </c:scaling>
        <c:delete val="0"/>
        <c:axPos val="b"/>
        <c:numFmt formatCode="General" sourceLinked="1"/>
        <c:majorTickMark val="out"/>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just">
              <a:defRPr sz="900" b="1" i="0" u="none" strike="noStrike" kern="1200" baseline="0">
                <a:solidFill>
                  <a:schemeClr val="tx1">
                    <a:lumMod val="65000"/>
                    <a:lumOff val="35000"/>
                  </a:schemeClr>
                </a:solidFill>
                <a:latin typeface="+mn-lt"/>
                <a:ea typeface="+mn-ea"/>
                <a:cs typeface="+mn-cs"/>
              </a:defRPr>
            </a:pPr>
            <a:endParaRPr lang="en-US"/>
          </a:p>
        </c:txPr>
        <c:crossAx val="99052928"/>
        <c:crosses val="autoZero"/>
        <c:auto val="1"/>
        <c:lblAlgn val="ctr"/>
        <c:lblOffset val="100"/>
        <c:noMultiLvlLbl val="0"/>
      </c:catAx>
      <c:valAx>
        <c:axId val="990529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9051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'Dwelling numbers'!$J$10</c:f>
              <c:strCache>
                <c:ptCount val="1"/>
                <c:pt idx="0">
                  <c:v>Stratford-on-Avon</c:v>
                </c:pt>
              </c:strCache>
            </c:strRef>
          </c:tx>
          <c:spPr>
            <a:solidFill>
              <a:schemeClr val="accent6">
                <a:lumMod val="60000"/>
                <a:lumOff val="40000"/>
              </a:schemeClr>
            </a:solidFill>
            <a:ln>
              <a:noFill/>
            </a:ln>
            <a:effectLst/>
          </c:spPr>
          <c:invertIfNegative val="0"/>
          <c:cat>
            <c:strRef>
              <c:f>'Dwelling numbers'!$K$9:$O$9</c:f>
              <c:strCache>
                <c:ptCount val="5"/>
                <c:pt idx="0">
                  <c:v>Bungalow</c:v>
                </c:pt>
                <c:pt idx="1">
                  <c:v>Flat/Maisonette</c:v>
                </c:pt>
                <c:pt idx="2">
                  <c:v>Terraced</c:v>
                </c:pt>
                <c:pt idx="3">
                  <c:v>Semi-detached</c:v>
                </c:pt>
                <c:pt idx="4">
                  <c:v>Detached</c:v>
                </c:pt>
              </c:strCache>
            </c:strRef>
          </c:cat>
          <c:val>
            <c:numRef>
              <c:f>'Dwelling numbers'!$K$10:$O$10</c:f>
              <c:numCache>
                <c:formatCode>0%</c:formatCode>
                <c:ptCount val="5"/>
                <c:pt idx="0">
                  <c:v>0.1000852514919011</c:v>
                </c:pt>
                <c:pt idx="1">
                  <c:v>0.12497868712702473</c:v>
                </c:pt>
                <c:pt idx="2">
                  <c:v>0.22028985507246376</c:v>
                </c:pt>
                <c:pt idx="3">
                  <c:v>0.24808184143222506</c:v>
                </c:pt>
                <c:pt idx="4">
                  <c:v>0.30656436487638533</c:v>
                </c:pt>
              </c:numCache>
            </c:numRef>
          </c:val>
          <c:extLst>
            <c:ext xmlns:c16="http://schemas.microsoft.com/office/drawing/2014/chart" uri="{C3380CC4-5D6E-409C-BE32-E72D297353CC}">
              <c16:uniqueId val="{00000000-C043-4499-89A6-720DB95EC1D5}"/>
            </c:ext>
          </c:extLst>
        </c:ser>
        <c:ser>
          <c:idx val="1"/>
          <c:order val="1"/>
          <c:tx>
            <c:strRef>
              <c:f>'Dwelling numbers'!$J$11</c:f>
              <c:strCache>
                <c:ptCount val="1"/>
                <c:pt idx="0">
                  <c:v>Warwickshire</c:v>
                </c:pt>
              </c:strCache>
            </c:strRef>
          </c:tx>
          <c:spPr>
            <a:solidFill>
              <a:schemeClr val="bg2">
                <a:lumMod val="90000"/>
              </a:schemeClr>
            </a:solidFill>
            <a:ln>
              <a:noFill/>
            </a:ln>
            <a:effectLst/>
          </c:spPr>
          <c:invertIfNegative val="0"/>
          <c:cat>
            <c:strRef>
              <c:f>'Dwelling numbers'!$K$9:$O$9</c:f>
              <c:strCache>
                <c:ptCount val="5"/>
                <c:pt idx="0">
                  <c:v>Bungalow</c:v>
                </c:pt>
                <c:pt idx="1">
                  <c:v>Flat/Maisonette</c:v>
                </c:pt>
                <c:pt idx="2">
                  <c:v>Terraced</c:v>
                </c:pt>
                <c:pt idx="3">
                  <c:v>Semi-detached</c:v>
                </c:pt>
                <c:pt idx="4">
                  <c:v>Detached</c:v>
                </c:pt>
              </c:strCache>
            </c:strRef>
          </c:cat>
          <c:val>
            <c:numRef>
              <c:f>'Dwelling numbers'!$K$11:$O$11</c:f>
              <c:numCache>
                <c:formatCode>0%</c:formatCode>
                <c:ptCount val="5"/>
                <c:pt idx="0">
                  <c:v>8.2179421802063307E-2</c:v>
                </c:pt>
                <c:pt idx="1">
                  <c:v>0.15082571686345272</c:v>
                </c:pt>
                <c:pt idx="2">
                  <c:v>0.25018632565802379</c:v>
                </c:pt>
                <c:pt idx="3">
                  <c:v>0.28180284784058368</c:v>
                </c:pt>
                <c:pt idx="4">
                  <c:v>0.23500568783587653</c:v>
                </c:pt>
              </c:numCache>
            </c:numRef>
          </c:val>
          <c:extLst>
            <c:ext xmlns:c16="http://schemas.microsoft.com/office/drawing/2014/chart" uri="{C3380CC4-5D6E-409C-BE32-E72D297353CC}">
              <c16:uniqueId val="{00000001-C043-4499-89A6-720DB95EC1D5}"/>
            </c:ext>
          </c:extLst>
        </c:ser>
        <c:ser>
          <c:idx val="2"/>
          <c:order val="2"/>
          <c:tx>
            <c:strRef>
              <c:f>'Dwelling numbers'!$J$12</c:f>
              <c:strCache>
                <c:ptCount val="1"/>
                <c:pt idx="0">
                  <c:v>England</c:v>
                </c:pt>
              </c:strCache>
            </c:strRef>
          </c:tx>
          <c:spPr>
            <a:solidFill>
              <a:schemeClr val="bg2">
                <a:lumMod val="50000"/>
              </a:schemeClr>
            </a:solidFill>
            <a:ln>
              <a:noFill/>
            </a:ln>
            <a:effectLst/>
          </c:spPr>
          <c:invertIfNegative val="0"/>
          <c:cat>
            <c:strRef>
              <c:f>'Dwelling numbers'!$K$9:$O$9</c:f>
              <c:strCache>
                <c:ptCount val="5"/>
                <c:pt idx="0">
                  <c:v>Bungalow</c:v>
                </c:pt>
                <c:pt idx="1">
                  <c:v>Flat/Maisonette</c:v>
                </c:pt>
                <c:pt idx="2">
                  <c:v>Terraced</c:v>
                </c:pt>
                <c:pt idx="3">
                  <c:v>Semi-detached</c:v>
                </c:pt>
                <c:pt idx="4">
                  <c:v>Detached</c:v>
                </c:pt>
              </c:strCache>
            </c:strRef>
          </c:cat>
          <c:val>
            <c:numRef>
              <c:f>'Dwelling numbers'!$K$12:$O$12</c:f>
              <c:numCache>
                <c:formatCode>0%</c:formatCode>
                <c:ptCount val="5"/>
                <c:pt idx="0">
                  <c:v>9.4188890853104529E-2</c:v>
                </c:pt>
                <c:pt idx="1">
                  <c:v>0.23859628927689</c:v>
                </c:pt>
                <c:pt idx="2">
                  <c:v>0.26634901188533183</c:v>
                </c:pt>
                <c:pt idx="3">
                  <c:v>0.24101857828244416</c:v>
                </c:pt>
                <c:pt idx="4">
                  <c:v>0.15984722970222948</c:v>
                </c:pt>
              </c:numCache>
            </c:numRef>
          </c:val>
          <c:extLst>
            <c:ext xmlns:c16="http://schemas.microsoft.com/office/drawing/2014/chart" uri="{C3380CC4-5D6E-409C-BE32-E72D297353CC}">
              <c16:uniqueId val="{00000002-C043-4499-89A6-720DB95EC1D5}"/>
            </c:ext>
          </c:extLst>
        </c:ser>
        <c:dLbls>
          <c:showLegendKey val="0"/>
          <c:showVal val="0"/>
          <c:showCatName val="0"/>
          <c:showSerName val="0"/>
          <c:showPercent val="0"/>
          <c:showBubbleSize val="0"/>
        </c:dLbls>
        <c:gapWidth val="219"/>
        <c:overlap val="-27"/>
        <c:axId val="99071488"/>
        <c:axId val="99073024"/>
      </c:barChart>
      <c:catAx>
        <c:axId val="99071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9073024"/>
        <c:crosses val="autoZero"/>
        <c:auto val="1"/>
        <c:lblAlgn val="ctr"/>
        <c:lblOffset val="100"/>
        <c:noMultiLvlLbl val="0"/>
      </c:catAx>
      <c:valAx>
        <c:axId val="9907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GB"/>
                  <a:t>Dwellings (%)</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9071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lgn="just">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ysClr val="window" lastClr="FFFFFF">
          <a:lumMod val="85000"/>
        </a:sysClr>
      </a:solidFill>
      <a:round/>
    </a:ln>
    <a:effectLst/>
  </c:spPr>
  <c:txPr>
    <a:bodyPr/>
    <a:lstStyle/>
    <a:p>
      <a:pPr>
        <a:defRPr b="1"/>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'Median vs lower quartile'!$A$2</c:f>
              <c:strCache>
                <c:ptCount val="1"/>
                <c:pt idx="0">
                  <c:v>median</c:v>
                </c:pt>
              </c:strCache>
            </c:strRef>
          </c:tx>
          <c:spPr>
            <a:ln w="28575" cap="rnd">
              <a:solidFill>
                <a:schemeClr val="tx2">
                  <a:lumMod val="75000"/>
                </a:schemeClr>
              </a:solidFill>
              <a:round/>
            </a:ln>
            <a:effectLst/>
          </c:spPr>
          <c:marker>
            <c:symbol val="none"/>
          </c:marker>
          <c:cat>
            <c:numRef>
              <c:f>'Median vs lower quartile'!$B$1:$K$1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'Median vs lower quartile'!$B$2:$K$2</c:f>
              <c:numCache>
                <c:formatCode>#,##0.00</c:formatCode>
                <c:ptCount val="10"/>
                <c:pt idx="0">
                  <c:v>8.81</c:v>
                </c:pt>
                <c:pt idx="1">
                  <c:v>8.76</c:v>
                </c:pt>
                <c:pt idx="2">
                  <c:v>8.76</c:v>
                </c:pt>
                <c:pt idx="3">
                  <c:v>9.68</c:v>
                </c:pt>
                <c:pt idx="4">
                  <c:v>9.5399999999999991</c:v>
                </c:pt>
                <c:pt idx="5">
                  <c:v>9.34</c:v>
                </c:pt>
                <c:pt idx="6">
                  <c:v>10.33</c:v>
                </c:pt>
                <c:pt idx="7">
                  <c:v>11.26</c:v>
                </c:pt>
                <c:pt idx="8" formatCode="0.00">
                  <c:v>10.23</c:v>
                </c:pt>
                <c:pt idx="9">
                  <c:v>10.17</c:v>
                </c:pt>
              </c:numCache>
            </c:numRef>
          </c:val>
          <c:smooth val="0"/>
          <c:extLst>
            <c:ext xmlns:c16="http://schemas.microsoft.com/office/drawing/2014/chart" uri="{C3380CC4-5D6E-409C-BE32-E72D297353CC}">
              <c16:uniqueId val="{00000000-1E3F-4399-86E2-CBBF9E5EBCFD}"/>
            </c:ext>
          </c:extLst>
        </c:ser>
        <c:ser>
          <c:idx val="1"/>
          <c:order val="1"/>
          <c:tx>
            <c:strRef>
              <c:f>'Median vs lower quartile'!$A$3</c:f>
              <c:strCache>
                <c:ptCount val="1"/>
                <c:pt idx="0">
                  <c:v>lower quartile</c:v>
                </c:pt>
              </c:strCache>
            </c:strRef>
          </c:tx>
          <c:spPr>
            <a:ln w="28575" cap="rnd">
              <a:solidFill>
                <a:schemeClr val="tx2">
                  <a:lumMod val="40000"/>
                  <a:lumOff val="60000"/>
                </a:schemeClr>
              </a:solidFill>
              <a:round/>
            </a:ln>
            <a:effectLst/>
          </c:spPr>
          <c:marker>
            <c:symbol val="none"/>
          </c:marker>
          <c:cat>
            <c:numRef>
              <c:f>'Median vs lower quartile'!$B$1:$K$1</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cat>
          <c:val>
            <c:numRef>
              <c:f>'Median vs lower quartile'!$B$3:$K$3</c:f>
              <c:numCache>
                <c:formatCode>#,##0.00</c:formatCode>
                <c:ptCount val="10"/>
                <c:pt idx="0">
                  <c:v>8.2799999999999994</c:v>
                </c:pt>
                <c:pt idx="1">
                  <c:v>9.11</c:v>
                </c:pt>
                <c:pt idx="2">
                  <c:v>9.4600000000000009</c:v>
                </c:pt>
                <c:pt idx="3">
                  <c:v>9.89</c:v>
                </c:pt>
                <c:pt idx="4">
                  <c:v>10.33</c:v>
                </c:pt>
                <c:pt idx="5">
                  <c:v>10</c:v>
                </c:pt>
                <c:pt idx="6">
                  <c:v>10.55</c:v>
                </c:pt>
                <c:pt idx="7" formatCode="0.00">
                  <c:v>11.72</c:v>
                </c:pt>
                <c:pt idx="8" formatCode="0.00">
                  <c:v>10.89</c:v>
                </c:pt>
                <c:pt idx="9" formatCode="General">
                  <c:v>10.74</c:v>
                </c:pt>
              </c:numCache>
            </c:numRef>
          </c:val>
          <c:smooth val="0"/>
          <c:extLst>
            <c:ext xmlns:c16="http://schemas.microsoft.com/office/drawing/2014/chart" uri="{C3380CC4-5D6E-409C-BE32-E72D297353CC}">
              <c16:uniqueId val="{00000001-1E3F-4399-86E2-CBBF9E5EBCFD}"/>
            </c:ext>
          </c:extLst>
        </c:ser>
        <c:dLbls>
          <c:showLegendKey val="0"/>
          <c:showVal val="0"/>
          <c:showCatName val="0"/>
          <c:showSerName val="0"/>
          <c:showPercent val="0"/>
          <c:showBubbleSize val="0"/>
        </c:dLbls>
        <c:smooth val="0"/>
        <c:axId val="456261888"/>
        <c:axId val="456262304"/>
      </c:lineChart>
      <c:catAx>
        <c:axId val="4562618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56262304"/>
        <c:crosses val="autoZero"/>
        <c:auto val="1"/>
        <c:lblAlgn val="ctr"/>
        <c:lblOffset val="100"/>
        <c:noMultiLvlLbl val="0"/>
      </c:catAx>
      <c:valAx>
        <c:axId val="4562623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4562618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'New builds'!$B$1</c:f>
              <c:strCache>
                <c:ptCount val="1"/>
                <c:pt idx="0">
                  <c:v>1 bed</c:v>
                </c:pt>
              </c:strCache>
            </c:strRef>
          </c:tx>
          <c:spPr>
            <a:solidFill>
              <a:schemeClr val="accent1"/>
            </a:solidFill>
            <a:ln>
              <a:noFill/>
            </a:ln>
            <a:effectLst/>
          </c:spPr>
          <c:invertIfNegative val="0"/>
          <c:cat>
            <c:strRef>
              <c:f>'New builds'!$A$2:$A$11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'New builds'!$B$2:$B$11</c:f>
              <c:numCache>
                <c:formatCode>0.00</c:formatCode>
                <c:ptCount val="10"/>
                <c:pt idx="0">
                  <c:v>7</c:v>
                </c:pt>
                <c:pt idx="1">
                  <c:v>17</c:v>
                </c:pt>
                <c:pt idx="2">
                  <c:v>13</c:v>
                </c:pt>
                <c:pt idx="3">
                  <c:v>5</c:v>
                </c:pt>
                <c:pt idx="4">
                  <c:v>32</c:v>
                </c:pt>
                <c:pt idx="5">
                  <c:v>42</c:v>
                </c:pt>
                <c:pt idx="6">
                  <c:v>126</c:v>
                </c:pt>
                <c:pt idx="7">
                  <c:v>97</c:v>
                </c:pt>
                <c:pt idx="8">
                  <c:v>106</c:v>
                </c:pt>
                <c:pt idx="9">
                  <c:v>47</c:v>
                </c:pt>
              </c:numCache>
            </c:numRef>
          </c:val>
          <c:extLst>
            <c:ext xmlns:c16="http://schemas.microsoft.com/office/drawing/2014/chart" uri="{C3380CC4-5D6E-409C-BE32-E72D297353CC}">
              <c16:uniqueId val="{00000000-3076-4122-B3E7-5088F8975D10}"/>
            </c:ext>
          </c:extLst>
        </c:ser>
        <c:ser>
          <c:idx val="1"/>
          <c:order val="1"/>
          <c:tx>
            <c:strRef>
              <c:f>'New builds'!$C$1</c:f>
              <c:strCache>
                <c:ptCount val="1"/>
                <c:pt idx="0">
                  <c:v>2 bed</c:v>
                </c:pt>
              </c:strCache>
            </c:strRef>
          </c:tx>
          <c:spPr>
            <a:solidFill>
              <a:schemeClr val="accent2"/>
            </a:solidFill>
            <a:ln>
              <a:noFill/>
            </a:ln>
            <a:effectLst/>
          </c:spPr>
          <c:invertIfNegative val="0"/>
          <c:cat>
            <c:strRef>
              <c:f>'New builds'!$A$2:$A$11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'New builds'!$C$2:$C$11</c:f>
              <c:numCache>
                <c:formatCode>0.00</c:formatCode>
                <c:ptCount val="10"/>
                <c:pt idx="0">
                  <c:v>42</c:v>
                </c:pt>
                <c:pt idx="1">
                  <c:v>81</c:v>
                </c:pt>
                <c:pt idx="2">
                  <c:v>105</c:v>
                </c:pt>
                <c:pt idx="3">
                  <c:v>191</c:v>
                </c:pt>
                <c:pt idx="4">
                  <c:v>165</c:v>
                </c:pt>
                <c:pt idx="5">
                  <c:v>191</c:v>
                </c:pt>
                <c:pt idx="6">
                  <c:v>387</c:v>
                </c:pt>
                <c:pt idx="7">
                  <c:v>409</c:v>
                </c:pt>
                <c:pt idx="8">
                  <c:v>405</c:v>
                </c:pt>
                <c:pt idx="9">
                  <c:v>220</c:v>
                </c:pt>
              </c:numCache>
            </c:numRef>
          </c:val>
          <c:extLst>
            <c:ext xmlns:c16="http://schemas.microsoft.com/office/drawing/2014/chart" uri="{C3380CC4-5D6E-409C-BE32-E72D297353CC}">
              <c16:uniqueId val="{00000001-3076-4122-B3E7-5088F8975D10}"/>
            </c:ext>
          </c:extLst>
        </c:ser>
        <c:ser>
          <c:idx val="2"/>
          <c:order val="2"/>
          <c:tx>
            <c:strRef>
              <c:f>'New builds'!$D$1</c:f>
              <c:strCache>
                <c:ptCount val="1"/>
                <c:pt idx="0">
                  <c:v>3 bed</c:v>
                </c:pt>
              </c:strCache>
            </c:strRef>
          </c:tx>
          <c:spPr>
            <a:solidFill>
              <a:schemeClr val="accent3"/>
            </a:solidFill>
            <a:ln>
              <a:noFill/>
            </a:ln>
            <a:effectLst/>
          </c:spPr>
          <c:invertIfNegative val="0"/>
          <c:cat>
            <c:strRef>
              <c:f>'New builds'!$A$2:$A$11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'New builds'!$D$2:$D$11</c:f>
              <c:numCache>
                <c:formatCode>0.00</c:formatCode>
                <c:ptCount val="10"/>
                <c:pt idx="0">
                  <c:v>33</c:v>
                </c:pt>
                <c:pt idx="1">
                  <c:v>78</c:v>
                </c:pt>
                <c:pt idx="2">
                  <c:v>89</c:v>
                </c:pt>
                <c:pt idx="3">
                  <c:v>130</c:v>
                </c:pt>
                <c:pt idx="4">
                  <c:v>358</c:v>
                </c:pt>
                <c:pt idx="5">
                  <c:v>236</c:v>
                </c:pt>
                <c:pt idx="6">
                  <c:v>272</c:v>
                </c:pt>
                <c:pt idx="7">
                  <c:v>436</c:v>
                </c:pt>
                <c:pt idx="8">
                  <c:v>443</c:v>
                </c:pt>
                <c:pt idx="9">
                  <c:v>198</c:v>
                </c:pt>
              </c:numCache>
            </c:numRef>
          </c:val>
          <c:extLst>
            <c:ext xmlns:c16="http://schemas.microsoft.com/office/drawing/2014/chart" uri="{C3380CC4-5D6E-409C-BE32-E72D297353CC}">
              <c16:uniqueId val="{00000002-3076-4122-B3E7-5088F8975D10}"/>
            </c:ext>
          </c:extLst>
        </c:ser>
        <c:ser>
          <c:idx val="3"/>
          <c:order val="3"/>
          <c:tx>
            <c:strRef>
              <c:f>'New builds'!$E$1</c:f>
              <c:strCache>
                <c:ptCount val="1"/>
                <c:pt idx="0">
                  <c:v>4+ bed</c:v>
                </c:pt>
              </c:strCache>
            </c:strRef>
          </c:tx>
          <c:spPr>
            <a:solidFill>
              <a:schemeClr val="accent4"/>
            </a:solidFill>
            <a:ln>
              <a:noFill/>
            </a:ln>
            <a:effectLst/>
          </c:spPr>
          <c:invertIfNegative val="0"/>
          <c:cat>
            <c:strRef>
              <c:f>'New builds'!$A$2:$A$11</c:f>
              <c:strCache>
                <c:ptCount val="10"/>
                <c:pt idx="0">
                  <c:v>2011/12</c:v>
                </c:pt>
                <c:pt idx="1">
                  <c:v>2012/13</c:v>
                </c:pt>
                <c:pt idx="2">
                  <c:v>2013/14</c:v>
                </c:pt>
                <c:pt idx="3">
                  <c:v>2014/15</c:v>
                </c:pt>
                <c:pt idx="4">
                  <c:v>2015/16</c:v>
                </c:pt>
                <c:pt idx="5">
                  <c:v>2016/17</c:v>
                </c:pt>
                <c:pt idx="6">
                  <c:v>2017/18</c:v>
                </c:pt>
                <c:pt idx="7">
                  <c:v>2018/19</c:v>
                </c:pt>
                <c:pt idx="8">
                  <c:v>2019/20</c:v>
                </c:pt>
                <c:pt idx="9">
                  <c:v>2020/21</c:v>
                </c:pt>
              </c:strCache>
            </c:strRef>
          </c:cat>
          <c:val>
            <c:numRef>
              <c:f>'New builds'!$E$2:$E$11</c:f>
              <c:numCache>
                <c:formatCode>0.00</c:formatCode>
                <c:ptCount val="10"/>
                <c:pt idx="0">
                  <c:v>23</c:v>
                </c:pt>
                <c:pt idx="1">
                  <c:v>49</c:v>
                </c:pt>
                <c:pt idx="2">
                  <c:v>53</c:v>
                </c:pt>
                <c:pt idx="3">
                  <c:v>176</c:v>
                </c:pt>
                <c:pt idx="4">
                  <c:v>282</c:v>
                </c:pt>
                <c:pt idx="5">
                  <c:v>207</c:v>
                </c:pt>
                <c:pt idx="6">
                  <c:v>304</c:v>
                </c:pt>
                <c:pt idx="7">
                  <c:v>318</c:v>
                </c:pt>
                <c:pt idx="8">
                  <c:v>257</c:v>
                </c:pt>
                <c:pt idx="9">
                  <c:v>120</c:v>
                </c:pt>
              </c:numCache>
            </c:numRef>
          </c:val>
          <c:extLst>
            <c:ext xmlns:c16="http://schemas.microsoft.com/office/drawing/2014/chart" uri="{C3380CC4-5D6E-409C-BE32-E72D297353CC}">
              <c16:uniqueId val="{00000003-3076-4122-B3E7-5088F8975D10}"/>
            </c:ext>
          </c:extLst>
        </c:ser>
        <c:dLbls>
          <c:showLegendKey val="0"/>
          <c:showVal val="0"/>
          <c:showCatName val="0"/>
          <c:showSerName val="0"/>
          <c:showPercent val="0"/>
          <c:showBubbleSize val="0"/>
        </c:dLbls>
        <c:gapWidth val="219"/>
        <c:overlap val="-27"/>
        <c:axId val="580682752"/>
        <c:axId val="580684000"/>
      </c:barChart>
      <c:catAx>
        <c:axId val="58068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80684000"/>
        <c:crosses val="autoZero"/>
        <c:auto val="1"/>
        <c:lblAlgn val="ctr"/>
        <c:lblOffset val="100"/>
        <c:noMultiLvlLbl val="0"/>
      </c:catAx>
      <c:valAx>
        <c:axId val="5806840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58068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Lai21</b:Tag>
    <b:SourceType>Report</b:SourceType>
    <b:Guid>{641481DC-60C0-4D31-9712-80894D9DA330}</b:Guid>
    <b:Title>Laid Low: The impacts of the Covid crisis on low-paid and insecure workers</b:Title>
    <b:Year>2021</b:Year>
    <b:Publisher>Insititute for Employment Studies</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BB136DDD1B30A14F886605119157D567" ma:contentTypeVersion="16" ma:contentTypeDescription="Create a new document." ma:contentTypeScope="" ma:versionID="d89d39a9617c598e1fdbf43199a5840d">
  <xsd:schema xmlns:xsd="http://www.w3.org/2001/XMLSchema" xmlns:xs="http://www.w3.org/2001/XMLSchema" xmlns:p="http://schemas.microsoft.com/office/2006/metadata/properties" xmlns:ns2="676798ff-6df6-403b-9278-8cd2f93d3612" xmlns:ns3="ab65c526-53a9-4311-8e46-0f87e015e446" targetNamespace="http://schemas.microsoft.com/office/2006/metadata/properties" ma:root="true" ma:fieldsID="2669618b73b3c99ff422696c086aacc8" ns2:_="" ns3:_="">
    <xsd:import namespace="676798ff-6df6-403b-9278-8cd2f93d3612"/>
    <xsd:import namespace="ab65c526-53a9-4311-8e46-0f87e015e4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798ff-6df6-403b-9278-8cd2f93d3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3e2137e-0d97-4c97-ad1d-8cd7a40b0d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b65c526-53a9-4311-8e46-0f87e015e44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43d9f7-99b1-455b-badd-38c54dbc6b09}" ma:internalName="TaxCatchAll" ma:showField="CatchAllData" ma:web="ab65c526-53a9-4311-8e46-0f87e015e44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76798ff-6df6-403b-9278-8cd2f93d3612">
      <Terms xmlns="http://schemas.microsoft.com/office/infopath/2007/PartnerControls"/>
    </lcf76f155ced4ddcb4097134ff3c332f>
    <TaxCatchAll xmlns="ab65c526-53a9-4311-8e46-0f87e015e446" xsi:nil="true"/>
  </documentManagement>
</p:properties>
</file>

<file path=customXml/itemProps1.xml><?xml version="1.0" encoding="utf-8"?>
<ds:datastoreItem xmlns:ds="http://schemas.openxmlformats.org/officeDocument/2006/customXml" ds:itemID="{2CF971F8-A283-4CA0-AEF5-50A2F3B2EBC3}">
  <ds:schemaRefs>
    <ds:schemaRef ds:uri="http://schemas.openxmlformats.org/officeDocument/2006/bibliography"/>
  </ds:schemaRefs>
</ds:datastoreItem>
</file>

<file path=customXml/itemProps2.xml><?xml version="1.0" encoding="utf-8"?>
<ds:datastoreItem xmlns:ds="http://schemas.openxmlformats.org/officeDocument/2006/customXml" ds:itemID="{31BA97D7-3206-4D8D-B46F-C29765AB0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798ff-6df6-403b-9278-8cd2f93d3612"/>
    <ds:schemaRef ds:uri="ab65c526-53a9-4311-8e46-0f87e015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ED38D8-13A0-4677-BD48-7EC0BDA881FA}">
  <ds:schemaRefs>
    <ds:schemaRef ds:uri="http://schemas.microsoft.com/sharepoint/v3/contenttype/forms"/>
  </ds:schemaRefs>
</ds:datastoreItem>
</file>

<file path=customXml/itemProps4.xml><?xml version="1.0" encoding="utf-8"?>
<ds:datastoreItem xmlns:ds="http://schemas.openxmlformats.org/officeDocument/2006/customXml" ds:itemID="{0027710E-9BCC-4954-A1D7-3B1384385288}">
  <ds:schemaRefs>
    <ds:schemaRef ds:uri="http://schemas.microsoft.com/office/2006/metadata/properties"/>
    <ds:schemaRef ds:uri="http://schemas.microsoft.com/office/infopath/2007/PartnerControls"/>
    <ds:schemaRef ds:uri="9a0c1f3f-e90b-4d5d-a635-d35f48508ad7"/>
    <ds:schemaRef ds:uri="b37833f2-786d-4bdc-9a5d-5cc3f239c39f"/>
    <ds:schemaRef ds:uri="676798ff-6df6-403b-9278-8cd2f93d3612"/>
    <ds:schemaRef ds:uri="ab65c526-53a9-4311-8e46-0f87e015e446"/>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9370</Words>
  <Characters>49597</Characters>
  <Application>Microsoft Office Word</Application>
  <DocSecurity>0</DocSecurity>
  <Lines>413</Lines>
  <Paragraphs>117</Paragraphs>
  <ScaleCrop>false</ScaleCrop>
  <HeadingPairs>
    <vt:vector size="2" baseType="variant">
      <vt:variant>
        <vt:lpstr>Title</vt:lpstr>
      </vt:variant>
      <vt:variant>
        <vt:i4>1</vt:i4>
      </vt:variant>
    </vt:vector>
  </HeadingPairs>
  <TitlesOfParts>
    <vt:vector size="1" baseType="lpstr">
      <vt:lpstr>[COMMITTEE/PANEL]</vt:lpstr>
    </vt:vector>
  </TitlesOfParts>
  <Company>Stratford on Avon D C</Company>
  <LinksUpToDate>false</LinksUpToDate>
  <CharactersWithSpaces>58850</CharactersWithSpaces>
  <SharedDoc>false</SharedDoc>
  <HLinks>
    <vt:vector size="12" baseType="variant">
      <vt:variant>
        <vt:i4>2883627</vt:i4>
      </vt:variant>
      <vt:variant>
        <vt:i4>3</vt:i4>
      </vt:variant>
      <vt:variant>
        <vt:i4>0</vt:i4>
      </vt:variant>
      <vt:variant>
        <vt:i4>5</vt:i4>
      </vt:variant>
      <vt:variant>
        <vt:lpwstr>http://www.nomisweb.co.uk/reports/lmp/la/1946157184/report.aspx</vt:lpwstr>
      </vt:variant>
      <vt:variant>
        <vt:lpwstr/>
      </vt:variant>
      <vt:variant>
        <vt:i4>393219</vt:i4>
      </vt:variant>
      <vt:variant>
        <vt:i4>0</vt:i4>
      </vt:variant>
      <vt:variant>
        <vt:i4>0</vt:i4>
      </vt:variant>
      <vt:variant>
        <vt:i4>5</vt:i4>
      </vt:variant>
      <vt:variant>
        <vt:lpwstr>http://www.warwickshireobservatory.org/observatory/observatorywcc.nsf/0/564F4491F9BD888E80257B030030D501/$file/Stratford-on-Avon.pdf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[COMMITTEE/PANEL]</dc:title>
  <dc:subject/>
  <dc:creator>emily.archer</dc:creator>
  <cp:keywords/>
  <dc:description/>
  <cp:lastModifiedBy>Liz Jaworska</cp:lastModifiedBy>
  <cp:revision>5</cp:revision>
  <cp:lastPrinted>2019-10-03T11:54:00Z</cp:lastPrinted>
  <dcterms:created xsi:type="dcterms:W3CDTF">2022-10-05T08:49:00Z</dcterms:created>
  <dcterms:modified xsi:type="dcterms:W3CDTF">2022-10-06T13:29:00Z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EmailStoreID0">
    <vt:lpwstr>0000000038A1BB1005E5101AA1BB08002B2A56C20000454D534D44422E444C4C00000000000000001B55FA20AA6611CD9BC800AA002FC45A0C0000007364636F75746C6F6F6B2E7374726174666F72642D64632E676F762E756B002F6F3D4669727374204F7267616E697A6174696F6E2F6F753D46697273742041646D696E6</vt:lpwstr>
  </property>
  <property fmtid="{D5CDD505-2E9C-101B-9397-08002B2CF9AE}" pid="4" name="_EmailStoreID1">
    <vt:lpwstr>973747261746976652047726F75702F636E3D526563697069656E74732F636E3D5061756C2E4C616E6B657374657200</vt:lpwstr>
  </property>
  <property fmtid="{D5CDD505-2E9C-101B-9397-08002B2CF9AE}" pid="5" name="ContentTypeId">
    <vt:lpwstr>0x01010016C2E3E6496C2348B65CA9861AED75D7</vt:lpwstr>
  </property>
  <property fmtid="{D5CDD505-2E9C-101B-9397-08002B2CF9AE}" pid="6" name="Order">
    <vt:r8>6148800</vt:r8>
  </property>
  <property fmtid="{D5CDD505-2E9C-101B-9397-08002B2CF9AE}" pid="7" name="MediaServiceImageTags">
    <vt:lpwstr/>
  </property>
</Properties>
</file>